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100" w:firstLineChars="250"/>
        <w:rPr>
          <w:rFonts w:ascii="黑体" w:hAnsi="黑体" w:eastAsia="黑体" w:cs="Times New Roman"/>
          <w:sz w:val="44"/>
          <w:szCs w:val="44"/>
        </w:rPr>
      </w:pPr>
      <w:r>
        <w:rPr>
          <w:rFonts w:hint="eastAsia" w:ascii="黑体" w:hAnsi="黑体" w:eastAsia="黑体" w:cs="Times New Roman"/>
          <w:sz w:val="44"/>
          <w:szCs w:val="44"/>
        </w:rPr>
        <w:t>国有建设用地使用权挂牌出让须知</w:t>
      </w:r>
    </w:p>
    <w:p>
      <w:pPr>
        <w:spacing w:line="440" w:lineRule="exact"/>
        <w:jc w:val="center"/>
        <w:rPr>
          <w:rFonts w:ascii="仿宋_GB2312" w:hAnsi="Times New Roman" w:eastAsia="仿宋_GB2312" w:cs="Times New Roman"/>
          <w:sz w:val="32"/>
          <w:szCs w:val="32"/>
        </w:rPr>
      </w:pPr>
    </w:p>
    <w:p>
      <w:pPr>
        <w:spacing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黄石市开发区管委会批准，大冶市公共资源交易中心根据大冶市自然资源和规划局</w:t>
      </w:r>
      <w:r>
        <w:rPr>
          <w:rFonts w:hint="eastAsia" w:ascii="仿宋" w:hAnsi="仿宋" w:eastAsia="仿宋" w:cs="Times New Roman"/>
          <w:sz w:val="32"/>
          <w:szCs w:val="32"/>
          <w:lang w:val="en-US" w:eastAsia="zh-CN"/>
        </w:rPr>
        <w:t>来</w:t>
      </w:r>
      <w:r>
        <w:rPr>
          <w:rFonts w:hint="eastAsia" w:ascii="仿宋" w:hAnsi="仿宋" w:eastAsia="仿宋" w:cs="Times New Roman"/>
          <w:sz w:val="32"/>
          <w:szCs w:val="32"/>
        </w:rPr>
        <w:t>函,决定以网上挂牌方式出让HG190</w:t>
      </w:r>
      <w:r>
        <w:rPr>
          <w:rFonts w:hint="eastAsia" w:ascii="仿宋" w:hAnsi="仿宋" w:eastAsia="仿宋" w:cs="Times New Roman"/>
          <w:sz w:val="32"/>
          <w:szCs w:val="32"/>
          <w:lang w:val="en-US" w:eastAsia="zh-CN"/>
        </w:rPr>
        <w:t>36</w:t>
      </w:r>
      <w:r>
        <w:rPr>
          <w:rFonts w:hint="eastAsia" w:ascii="仿宋" w:hAnsi="仿宋" w:eastAsia="仿宋" w:cs="Times New Roman"/>
          <w:sz w:val="32"/>
          <w:szCs w:val="32"/>
        </w:rPr>
        <w:t>号</w:t>
      </w:r>
      <w:r>
        <w:rPr>
          <w:rFonts w:hint="eastAsia" w:ascii="仿宋" w:hAnsi="仿宋" w:eastAsia="仿宋" w:cs="Times New Roman"/>
          <w:sz w:val="32"/>
          <w:szCs w:val="32"/>
          <w:lang w:val="en-US" w:eastAsia="zh-CN"/>
        </w:rPr>
        <w:t>等2宗</w:t>
      </w:r>
      <w:r>
        <w:rPr>
          <w:rFonts w:hint="eastAsia" w:ascii="仿宋" w:hAnsi="仿宋" w:eastAsia="仿宋" w:cs="Times New Roman"/>
          <w:sz w:val="32"/>
          <w:szCs w:val="32"/>
        </w:rPr>
        <w:t>地块的国有建设用地使用权。</w:t>
      </w:r>
    </w:p>
    <w:p>
      <w:pPr>
        <w:spacing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一、本次国有建设用地使用权挂牌出让的出让人为大冶市自然资源和规划局，具体组织实施由大冶市公共资源交易中心承办。</w:t>
      </w:r>
    </w:p>
    <w:p>
      <w:pPr>
        <w:spacing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二、本次国有建设用地使用权挂牌出让遵循公开、公平、公正和诚实信用原则。</w:t>
      </w:r>
    </w:p>
    <w:p>
      <w:pPr>
        <w:tabs>
          <w:tab w:val="right" w:pos="8306"/>
        </w:tabs>
        <w:spacing w:line="480" w:lineRule="exact"/>
        <w:ind w:firstLine="643" w:firstLineChars="200"/>
        <w:rPr>
          <w:rFonts w:hint="eastAsia" w:ascii="仿宋" w:hAnsi="仿宋" w:eastAsia="仿宋" w:cs="Times New Roman"/>
          <w:bCs/>
          <w:sz w:val="32"/>
          <w:szCs w:val="32"/>
        </w:rPr>
      </w:pPr>
      <w:r>
        <w:rPr>
          <w:rFonts w:hint="eastAsia" w:ascii="仿宋" w:hAnsi="仿宋" w:eastAsia="仿宋" w:cs="Times New Roman"/>
          <w:b/>
          <w:bCs/>
          <w:sz w:val="32"/>
          <w:szCs w:val="32"/>
        </w:rPr>
        <w:t>三、</w:t>
      </w:r>
      <w:r>
        <w:rPr>
          <w:rFonts w:hint="eastAsia" w:ascii="仿宋" w:hAnsi="仿宋" w:eastAsia="仿宋" w:cs="Times New Roman"/>
          <w:bCs/>
          <w:sz w:val="32"/>
          <w:szCs w:val="32"/>
        </w:rPr>
        <w:t>出让地块的基本情况及规划指标要求等：</w:t>
      </w:r>
    </w:p>
    <w:tbl>
      <w:tblPr>
        <w:tblStyle w:val="7"/>
        <w:tblW w:w="8525" w:type="dxa"/>
        <w:jc w:val="center"/>
        <w:tblLayout w:type="fixed"/>
        <w:tblCellMar>
          <w:top w:w="0" w:type="dxa"/>
          <w:left w:w="0" w:type="dxa"/>
          <w:bottom w:w="0" w:type="dxa"/>
          <w:right w:w="0" w:type="dxa"/>
        </w:tblCellMar>
      </w:tblPr>
      <w:tblGrid>
        <w:gridCol w:w="886"/>
        <w:gridCol w:w="1454"/>
        <w:gridCol w:w="719"/>
        <w:gridCol w:w="809"/>
        <w:gridCol w:w="839"/>
        <w:gridCol w:w="758"/>
        <w:gridCol w:w="650"/>
        <w:gridCol w:w="790"/>
        <w:gridCol w:w="778"/>
        <w:gridCol w:w="842"/>
      </w:tblGrid>
      <w:tr>
        <w:tblPrEx>
          <w:tblCellMar>
            <w:top w:w="0" w:type="dxa"/>
            <w:left w:w="0" w:type="dxa"/>
            <w:bottom w:w="0" w:type="dxa"/>
            <w:right w:w="0" w:type="dxa"/>
          </w:tblCellMar>
        </w:tblPrEx>
        <w:trPr>
          <w:cantSplit/>
          <w:trHeight w:val="281" w:hRule="atLeast"/>
          <w:jc w:val="center"/>
        </w:trPr>
        <w:tc>
          <w:tcPr>
            <w:tcW w:w="88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地块</w:t>
            </w:r>
          </w:p>
          <w:p>
            <w:pPr>
              <w:spacing w:line="220" w:lineRule="exact"/>
              <w:jc w:val="center"/>
              <w:rPr>
                <w:spacing w:val="-8"/>
                <w:sz w:val="18"/>
                <w:szCs w:val="18"/>
              </w:rPr>
            </w:pPr>
            <w:r>
              <w:rPr>
                <w:spacing w:val="-8"/>
                <w:sz w:val="18"/>
                <w:szCs w:val="18"/>
              </w:rPr>
              <w:t>编号</w:t>
            </w:r>
          </w:p>
        </w:tc>
        <w:tc>
          <w:tcPr>
            <w:tcW w:w="1454"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土地坐落</w:t>
            </w:r>
          </w:p>
        </w:tc>
        <w:tc>
          <w:tcPr>
            <w:tcW w:w="719" w:type="dxa"/>
            <w:vMerge w:val="restart"/>
            <w:tcBorders>
              <w:top w:val="single" w:color="auto" w:sz="4" w:space="0"/>
              <w:left w:val="single" w:color="auto" w:sz="4" w:space="0"/>
              <w:right w:val="single" w:color="auto" w:sz="4" w:space="0"/>
            </w:tcBorders>
            <w:noWrap w:val="0"/>
            <w:vAlign w:val="center"/>
          </w:tcPr>
          <w:p>
            <w:pPr>
              <w:spacing w:line="220" w:lineRule="exact"/>
              <w:jc w:val="center"/>
              <w:rPr>
                <w:sz w:val="18"/>
                <w:szCs w:val="18"/>
              </w:rPr>
            </w:pPr>
            <w:r>
              <w:rPr>
                <w:sz w:val="18"/>
                <w:szCs w:val="18"/>
              </w:rPr>
              <w:t>出让面积(㎡)</w:t>
            </w:r>
          </w:p>
        </w:tc>
        <w:tc>
          <w:tcPr>
            <w:tcW w:w="80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土地</w:t>
            </w:r>
          </w:p>
          <w:p>
            <w:pPr>
              <w:spacing w:line="220" w:lineRule="exact"/>
              <w:jc w:val="center"/>
              <w:rPr>
                <w:sz w:val="18"/>
                <w:szCs w:val="18"/>
              </w:rPr>
            </w:pPr>
            <w:r>
              <w:rPr>
                <w:sz w:val="18"/>
                <w:szCs w:val="18"/>
              </w:rPr>
              <w:t>用途</w:t>
            </w:r>
          </w:p>
        </w:tc>
        <w:tc>
          <w:tcPr>
            <w:tcW w:w="2247"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规划指标要求</w:t>
            </w:r>
          </w:p>
        </w:tc>
        <w:tc>
          <w:tcPr>
            <w:tcW w:w="790" w:type="dxa"/>
            <w:vMerge w:val="restart"/>
            <w:tcBorders>
              <w:top w:val="single" w:color="auto" w:sz="4" w:space="0"/>
              <w:left w:val="nil"/>
              <w:right w:val="single" w:color="auto" w:sz="4" w:space="0"/>
            </w:tcBorders>
            <w:noWrap w:val="0"/>
            <w:vAlign w:val="center"/>
          </w:tcPr>
          <w:p>
            <w:pPr>
              <w:spacing w:line="220" w:lineRule="exact"/>
              <w:jc w:val="center"/>
              <w:rPr>
                <w:sz w:val="18"/>
                <w:szCs w:val="18"/>
              </w:rPr>
            </w:pPr>
            <w:r>
              <w:rPr>
                <w:sz w:val="18"/>
                <w:szCs w:val="18"/>
              </w:rPr>
              <w:t>出让</w:t>
            </w:r>
          </w:p>
          <w:p>
            <w:pPr>
              <w:spacing w:line="220" w:lineRule="exact"/>
              <w:ind w:firstLine="180" w:firstLineChars="100"/>
              <w:rPr>
                <w:sz w:val="18"/>
                <w:szCs w:val="18"/>
              </w:rPr>
            </w:pPr>
            <w:r>
              <w:rPr>
                <w:sz w:val="18"/>
                <w:szCs w:val="18"/>
              </w:rPr>
              <w:t>年限</w:t>
            </w:r>
          </w:p>
        </w:tc>
        <w:tc>
          <w:tcPr>
            <w:tcW w:w="778"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竞买</w:t>
            </w:r>
          </w:p>
          <w:p>
            <w:pPr>
              <w:spacing w:line="220" w:lineRule="exact"/>
              <w:jc w:val="center"/>
              <w:rPr>
                <w:sz w:val="18"/>
                <w:szCs w:val="18"/>
              </w:rPr>
            </w:pPr>
            <w:r>
              <w:rPr>
                <w:sz w:val="18"/>
                <w:szCs w:val="18"/>
              </w:rPr>
              <w:t>保证金</w:t>
            </w:r>
          </w:p>
          <w:p>
            <w:pPr>
              <w:spacing w:line="220" w:lineRule="exact"/>
              <w:jc w:val="center"/>
              <w:rPr>
                <w:sz w:val="18"/>
                <w:szCs w:val="18"/>
              </w:rPr>
            </w:pPr>
            <w:r>
              <w:rPr>
                <w:sz w:val="18"/>
                <w:szCs w:val="18"/>
              </w:rPr>
              <w:t>(万元)</w:t>
            </w:r>
          </w:p>
        </w:tc>
        <w:tc>
          <w:tcPr>
            <w:tcW w:w="842"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挂牌</w:t>
            </w:r>
          </w:p>
          <w:p>
            <w:pPr>
              <w:spacing w:line="220" w:lineRule="exact"/>
              <w:jc w:val="center"/>
              <w:rPr>
                <w:sz w:val="18"/>
                <w:szCs w:val="18"/>
              </w:rPr>
            </w:pPr>
            <w:r>
              <w:rPr>
                <w:sz w:val="18"/>
                <w:szCs w:val="18"/>
              </w:rPr>
              <w:t>起始价</w:t>
            </w:r>
          </w:p>
          <w:p>
            <w:pPr>
              <w:spacing w:line="220" w:lineRule="exact"/>
              <w:jc w:val="center"/>
              <w:rPr>
                <w:sz w:val="18"/>
                <w:szCs w:val="18"/>
              </w:rPr>
            </w:pPr>
            <w:r>
              <w:rPr>
                <w:sz w:val="18"/>
                <w:szCs w:val="18"/>
              </w:rPr>
              <w:t>(万元)</w:t>
            </w:r>
          </w:p>
        </w:tc>
      </w:tr>
      <w:tr>
        <w:tblPrEx>
          <w:tblCellMar>
            <w:top w:w="0" w:type="dxa"/>
            <w:left w:w="0" w:type="dxa"/>
            <w:bottom w:w="0" w:type="dxa"/>
            <w:right w:w="0" w:type="dxa"/>
          </w:tblCellMar>
        </w:tblPrEx>
        <w:trPr>
          <w:cantSplit/>
          <w:trHeight w:val="403" w:hRule="atLeast"/>
          <w:jc w:val="center"/>
        </w:trPr>
        <w:tc>
          <w:tcPr>
            <w:tcW w:w="8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1454"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719"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sz w:val="18"/>
                <w:szCs w:val="18"/>
              </w:rPr>
            </w:pPr>
          </w:p>
        </w:tc>
        <w:tc>
          <w:tcPr>
            <w:tcW w:w="8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83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容积率</w:t>
            </w:r>
          </w:p>
        </w:tc>
        <w:tc>
          <w:tcPr>
            <w:tcW w:w="75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ind w:firstLine="90" w:firstLineChars="50"/>
              <w:rPr>
                <w:sz w:val="18"/>
                <w:szCs w:val="18"/>
              </w:rPr>
            </w:pPr>
            <w:r>
              <w:rPr>
                <w:sz w:val="18"/>
                <w:szCs w:val="18"/>
              </w:rPr>
              <w:t>建筑</w:t>
            </w:r>
          </w:p>
          <w:p>
            <w:pPr>
              <w:spacing w:line="220" w:lineRule="exact"/>
              <w:jc w:val="center"/>
              <w:rPr>
                <w:sz w:val="18"/>
                <w:szCs w:val="18"/>
              </w:rPr>
            </w:pPr>
            <w:r>
              <w:rPr>
                <w:sz w:val="18"/>
                <w:szCs w:val="18"/>
              </w:rPr>
              <w:t>密度(%)</w:t>
            </w:r>
          </w:p>
        </w:tc>
        <w:tc>
          <w:tcPr>
            <w:tcW w:w="65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绿地率(%)</w:t>
            </w:r>
          </w:p>
        </w:tc>
        <w:tc>
          <w:tcPr>
            <w:tcW w:w="790" w:type="dxa"/>
            <w:vMerge w:val="continue"/>
            <w:tcBorders>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778"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842"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r>
      <w:tr>
        <w:tblPrEx>
          <w:tblCellMar>
            <w:top w:w="0" w:type="dxa"/>
            <w:left w:w="0" w:type="dxa"/>
            <w:bottom w:w="0" w:type="dxa"/>
            <w:right w:w="0" w:type="dxa"/>
          </w:tblCellMar>
        </w:tblPrEx>
        <w:trPr>
          <w:trHeight w:val="616" w:hRule="atLeast"/>
          <w:jc w:val="center"/>
        </w:trPr>
        <w:tc>
          <w:tcPr>
            <w:tcW w:w="8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spacing w:val="-8"/>
                <w:sz w:val="18"/>
                <w:szCs w:val="18"/>
                <w:lang w:val="en-US" w:eastAsia="zh-CN"/>
              </w:rPr>
            </w:pPr>
            <w:bookmarkStart w:id="0" w:name="OLE_LINK2" w:colFirst="10" w:colLast="10"/>
            <w:r>
              <w:rPr>
                <w:rFonts w:hint="eastAsia" w:ascii="宋体" w:hAnsi="宋体" w:eastAsia="宋体" w:cs="宋体"/>
                <w:i w:val="0"/>
                <w:color w:val="000000"/>
                <w:kern w:val="0"/>
                <w:sz w:val="18"/>
                <w:szCs w:val="18"/>
                <w:u w:val="none"/>
                <w:lang w:val="en-US" w:eastAsia="zh-CN" w:bidi="ar"/>
              </w:rPr>
              <w:t>HG19036</w:t>
            </w:r>
          </w:p>
        </w:tc>
        <w:tc>
          <w:tcPr>
            <w:tcW w:w="14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hint="eastAsia"/>
                <w:spacing w:val="-8"/>
                <w:sz w:val="18"/>
                <w:szCs w:val="18"/>
                <w:lang w:val="en-US" w:eastAsia="zh-CN"/>
              </w:rPr>
            </w:pPr>
            <w:r>
              <w:rPr>
                <w:rFonts w:hint="eastAsia" w:ascii="宋体" w:hAnsi="宋体" w:eastAsia="宋体" w:cs="宋体"/>
                <w:i w:val="0"/>
                <w:color w:val="000000"/>
                <w:kern w:val="0"/>
                <w:sz w:val="21"/>
                <w:szCs w:val="21"/>
                <w:u w:val="none"/>
                <w:lang w:val="en-US" w:eastAsia="zh-CN" w:bidi="ar"/>
              </w:rPr>
              <w:t>金山大道以南A14路以西</w:t>
            </w:r>
          </w:p>
        </w:tc>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spacing w:val="-8"/>
                <w:sz w:val="18"/>
                <w:szCs w:val="18"/>
                <w:lang w:val="en-US" w:eastAsia="zh-CN"/>
              </w:rPr>
            </w:pPr>
            <w:r>
              <w:rPr>
                <w:rFonts w:hint="eastAsia" w:ascii="宋体" w:hAnsi="宋体" w:eastAsia="宋体" w:cs="宋体"/>
                <w:i w:val="0"/>
                <w:color w:val="000000"/>
                <w:kern w:val="0"/>
                <w:sz w:val="21"/>
                <w:szCs w:val="21"/>
                <w:u w:val="none"/>
                <w:lang w:val="en-US" w:eastAsia="zh-CN" w:bidi="ar"/>
              </w:rPr>
              <w:t>15735</w:t>
            </w:r>
          </w:p>
        </w:tc>
        <w:tc>
          <w:tcPr>
            <w:tcW w:w="80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商业、商务</w:t>
            </w:r>
          </w:p>
        </w:tc>
        <w:tc>
          <w:tcPr>
            <w:tcW w:w="83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spacing w:val="-8"/>
                <w:sz w:val="18"/>
                <w:szCs w:val="18"/>
                <w:lang w:val="en-US" w:eastAsia="zh-CN"/>
              </w:rPr>
            </w:pPr>
            <w:r>
              <w:rPr>
                <w:rFonts w:hint="eastAsia"/>
                <w:spacing w:val="-8"/>
                <w:sz w:val="18"/>
                <w:szCs w:val="18"/>
                <w:lang w:val="en-US" w:eastAsia="zh-CN"/>
              </w:rPr>
              <w:t>≤2.5</w:t>
            </w:r>
          </w:p>
        </w:tc>
        <w:tc>
          <w:tcPr>
            <w:tcW w:w="7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≤40</w:t>
            </w: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≥30</w:t>
            </w:r>
          </w:p>
        </w:tc>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40</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2644</w:t>
            </w:r>
          </w:p>
        </w:tc>
        <w:tc>
          <w:tcPr>
            <w:tcW w:w="84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5288</w:t>
            </w:r>
          </w:p>
        </w:tc>
      </w:tr>
      <w:tr>
        <w:tblPrEx>
          <w:tblCellMar>
            <w:top w:w="0" w:type="dxa"/>
            <w:left w:w="0" w:type="dxa"/>
            <w:bottom w:w="0" w:type="dxa"/>
            <w:right w:w="0" w:type="dxa"/>
          </w:tblCellMar>
        </w:tblPrEx>
        <w:trPr>
          <w:trHeight w:val="701" w:hRule="atLeast"/>
          <w:jc w:val="center"/>
        </w:trPr>
        <w:tc>
          <w:tcPr>
            <w:tcW w:w="88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spacing w:val="-8"/>
                <w:sz w:val="18"/>
                <w:szCs w:val="18"/>
                <w:lang w:val="en-US" w:eastAsia="zh-CN"/>
              </w:rPr>
            </w:pPr>
            <w:r>
              <w:rPr>
                <w:rFonts w:hint="eastAsia" w:ascii="宋体" w:hAnsi="宋体" w:eastAsia="宋体" w:cs="宋体"/>
                <w:i w:val="0"/>
                <w:color w:val="000000"/>
                <w:kern w:val="0"/>
                <w:sz w:val="18"/>
                <w:szCs w:val="18"/>
                <w:u w:val="none"/>
                <w:lang w:val="en-US" w:eastAsia="zh-CN" w:bidi="ar"/>
              </w:rPr>
              <w:t>HG19037</w:t>
            </w:r>
          </w:p>
        </w:tc>
        <w:tc>
          <w:tcPr>
            <w:tcW w:w="145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widowControl/>
              <w:suppressLineNumbers w:val="0"/>
              <w:jc w:val="both"/>
              <w:textAlignment w:val="center"/>
              <w:rPr>
                <w:rFonts w:hint="eastAsia"/>
                <w:spacing w:val="-8"/>
                <w:sz w:val="18"/>
                <w:szCs w:val="18"/>
                <w:lang w:val="en-US" w:eastAsia="zh-CN"/>
              </w:rPr>
            </w:pPr>
            <w:r>
              <w:rPr>
                <w:rFonts w:hint="eastAsia" w:ascii="宋体" w:hAnsi="宋体" w:eastAsia="宋体" w:cs="宋体"/>
                <w:i w:val="0"/>
                <w:color w:val="000000"/>
                <w:kern w:val="0"/>
                <w:sz w:val="21"/>
                <w:szCs w:val="21"/>
                <w:u w:val="none"/>
                <w:lang w:val="en-US" w:eastAsia="zh-CN" w:bidi="ar"/>
              </w:rPr>
              <w:t>笔架山路以西中级法院以南</w:t>
            </w:r>
          </w:p>
        </w:tc>
        <w:tc>
          <w:tcPr>
            <w:tcW w:w="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spacing w:val="-8"/>
                <w:sz w:val="18"/>
                <w:szCs w:val="18"/>
                <w:lang w:val="en-US" w:eastAsia="zh-CN"/>
              </w:rPr>
            </w:pPr>
            <w:r>
              <w:rPr>
                <w:rFonts w:hint="eastAsia" w:ascii="宋体" w:hAnsi="宋体" w:eastAsia="宋体" w:cs="宋体"/>
                <w:i w:val="0"/>
                <w:color w:val="000000"/>
                <w:kern w:val="0"/>
                <w:sz w:val="21"/>
                <w:szCs w:val="21"/>
                <w:u w:val="none"/>
                <w:lang w:val="en-US" w:eastAsia="zh-CN" w:bidi="ar"/>
              </w:rPr>
              <w:t>11674</w:t>
            </w:r>
          </w:p>
        </w:tc>
        <w:tc>
          <w:tcPr>
            <w:tcW w:w="80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40" w:lineRule="exact"/>
              <w:jc w:val="center"/>
              <w:rPr>
                <w:rFonts w:hint="eastAsia"/>
                <w:spacing w:val="-8"/>
                <w:sz w:val="18"/>
                <w:szCs w:val="18"/>
              </w:rPr>
            </w:pPr>
            <w:r>
              <w:rPr>
                <w:rFonts w:hint="eastAsia"/>
                <w:spacing w:val="-8"/>
                <w:sz w:val="18"/>
                <w:szCs w:val="18"/>
                <w:lang w:val="en-US" w:eastAsia="zh-CN"/>
              </w:rPr>
              <w:t>商业、商务</w:t>
            </w:r>
          </w:p>
        </w:tc>
        <w:tc>
          <w:tcPr>
            <w:tcW w:w="83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ascii="宋体" w:hAnsi="宋体"/>
                <w:spacing w:val="-8"/>
                <w:sz w:val="18"/>
                <w:szCs w:val="18"/>
              </w:rPr>
            </w:pPr>
            <w:r>
              <w:rPr>
                <w:rFonts w:hint="eastAsia"/>
                <w:spacing w:val="-8"/>
                <w:sz w:val="18"/>
                <w:szCs w:val="18"/>
                <w:lang w:val="en-US" w:eastAsia="zh-CN"/>
              </w:rPr>
              <w:t>≤2.5</w:t>
            </w:r>
          </w:p>
        </w:tc>
        <w:tc>
          <w:tcPr>
            <w:tcW w:w="75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ascii="宋体" w:hAnsi="宋体"/>
                <w:spacing w:val="-8"/>
                <w:sz w:val="18"/>
                <w:szCs w:val="18"/>
              </w:rPr>
            </w:pPr>
            <w:r>
              <w:rPr>
                <w:rFonts w:hint="eastAsia"/>
                <w:spacing w:val="-8"/>
                <w:sz w:val="18"/>
                <w:szCs w:val="18"/>
                <w:lang w:val="en-US" w:eastAsia="zh-CN"/>
              </w:rPr>
              <w:t>≤38</w:t>
            </w:r>
          </w:p>
        </w:tc>
        <w:tc>
          <w:tcPr>
            <w:tcW w:w="65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eastAsia" w:ascii="宋体" w:hAnsi="宋体"/>
                <w:spacing w:val="-8"/>
                <w:sz w:val="18"/>
                <w:szCs w:val="18"/>
              </w:rPr>
            </w:pPr>
            <w:r>
              <w:rPr>
                <w:rFonts w:hint="eastAsia"/>
                <w:spacing w:val="-8"/>
                <w:sz w:val="18"/>
                <w:szCs w:val="18"/>
                <w:lang w:val="en-US" w:eastAsia="zh-CN"/>
              </w:rPr>
              <w:t>≥30</w:t>
            </w:r>
          </w:p>
        </w:tc>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40</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1892</w:t>
            </w:r>
          </w:p>
        </w:tc>
        <w:tc>
          <w:tcPr>
            <w:tcW w:w="842"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rFonts w:hint="default"/>
                <w:spacing w:val="-8"/>
                <w:sz w:val="18"/>
                <w:szCs w:val="18"/>
                <w:lang w:val="en-US" w:eastAsia="zh-CN"/>
              </w:rPr>
            </w:pPr>
            <w:r>
              <w:rPr>
                <w:rFonts w:hint="eastAsia"/>
                <w:spacing w:val="-8"/>
                <w:sz w:val="18"/>
                <w:szCs w:val="18"/>
                <w:lang w:val="en-US" w:eastAsia="zh-CN"/>
              </w:rPr>
              <w:t>3784</w:t>
            </w:r>
          </w:p>
        </w:tc>
      </w:tr>
      <w:bookmarkEnd w:id="0"/>
    </w:tbl>
    <w:p>
      <w:pPr>
        <w:tabs>
          <w:tab w:val="right" w:pos="8306"/>
        </w:tabs>
        <w:spacing w:line="48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四、特别约定</w:t>
      </w:r>
    </w:p>
    <w:p>
      <w:pPr>
        <w:spacing w:line="440" w:lineRule="exact"/>
        <w:ind w:firstLine="555"/>
        <w:rPr>
          <w:rFonts w:ascii="仿宋" w:hAnsi="仿宋" w:eastAsia="仿宋" w:cs="Times New Roman"/>
          <w:sz w:val="32"/>
          <w:szCs w:val="32"/>
        </w:rPr>
      </w:pPr>
      <w:r>
        <w:rPr>
          <w:rFonts w:hint="eastAsia" w:ascii="仿宋" w:hAnsi="仿宋" w:eastAsia="仿宋" w:cs="Times New Roman"/>
          <w:sz w:val="32"/>
          <w:szCs w:val="24"/>
        </w:rPr>
        <w:t>（一）</w:t>
      </w:r>
      <w:r>
        <w:rPr>
          <w:rFonts w:ascii="仿宋" w:hAnsi="仿宋" w:eastAsia="仿宋" w:cs="Times New Roman"/>
          <w:sz w:val="32"/>
          <w:szCs w:val="24"/>
        </w:rPr>
        <w:t>土地收购综合补偿约定：土地使用权及地面建(构)筑物的拆迁、补偿由黄石经济开发</w:t>
      </w:r>
      <w:r>
        <w:rPr>
          <w:rFonts w:hint="eastAsia" w:ascii="仿宋" w:hAnsi="仿宋" w:eastAsia="仿宋" w:cs="Times New Roman"/>
          <w:sz w:val="32"/>
          <w:szCs w:val="24"/>
          <w:lang w:val="en-US" w:eastAsia="zh-CN"/>
        </w:rPr>
        <w:t>区管委会</w:t>
      </w:r>
      <w:r>
        <w:rPr>
          <w:rFonts w:hint="eastAsia" w:eastAsia="仿宋_GB2312"/>
          <w:sz w:val="32"/>
          <w:lang w:val="en-US" w:eastAsia="zh-CN"/>
        </w:rPr>
        <w:t>·铁山区政府</w:t>
      </w:r>
      <w:r>
        <w:rPr>
          <w:rFonts w:eastAsia="仿宋_GB2312"/>
          <w:sz w:val="32"/>
        </w:rPr>
        <w:t>负责。</w:t>
      </w:r>
      <w:r>
        <w:rPr>
          <w:rFonts w:ascii="仿宋" w:hAnsi="仿宋" w:eastAsia="仿宋" w:cs="Times New Roman"/>
          <w:sz w:val="32"/>
          <w:szCs w:val="32"/>
        </w:rPr>
        <w:t>宗地涉及的</w:t>
      </w:r>
      <w:r>
        <w:rPr>
          <w:rFonts w:hint="eastAsia" w:ascii="仿宋" w:hAnsi="仿宋" w:eastAsia="仿宋" w:cs="Times New Roman"/>
          <w:sz w:val="32"/>
          <w:szCs w:val="32"/>
        </w:rPr>
        <w:t>契税、</w:t>
      </w:r>
      <w:r>
        <w:rPr>
          <w:rFonts w:ascii="仿宋" w:hAnsi="仿宋" w:eastAsia="仿宋" w:cs="Times New Roman"/>
          <w:sz w:val="32"/>
          <w:szCs w:val="32"/>
        </w:rPr>
        <w:t>耕地占用税由竞得人向地税部门缴纳。</w:t>
      </w:r>
    </w:p>
    <w:p>
      <w:pPr>
        <w:spacing w:line="440" w:lineRule="exact"/>
        <w:ind w:firstLine="645"/>
        <w:rPr>
          <w:rFonts w:ascii="仿宋" w:hAnsi="仿宋" w:eastAsia="仿宋" w:cs="Times New Roman"/>
          <w:sz w:val="32"/>
          <w:szCs w:val="24"/>
        </w:rPr>
      </w:pPr>
      <w:r>
        <w:rPr>
          <w:rFonts w:hint="eastAsia" w:ascii="仿宋" w:hAnsi="仿宋" w:eastAsia="仿宋" w:cs="Times New Roman"/>
          <w:sz w:val="32"/>
          <w:szCs w:val="24"/>
        </w:rPr>
        <w:t>（二）</w:t>
      </w:r>
      <w:r>
        <w:rPr>
          <w:rFonts w:ascii="仿宋" w:hAnsi="仿宋" w:eastAsia="仿宋" w:cs="Times New Roman"/>
          <w:sz w:val="32"/>
          <w:szCs w:val="24"/>
        </w:rPr>
        <w:t>土地开发程度：宗地红线外“</w:t>
      </w:r>
      <w:r>
        <w:rPr>
          <w:rFonts w:hint="eastAsia" w:ascii="仿宋" w:hAnsi="仿宋" w:eastAsia="仿宋" w:cs="Times New Roman"/>
          <w:sz w:val="32"/>
          <w:szCs w:val="24"/>
        </w:rPr>
        <w:t>五</w:t>
      </w:r>
      <w:r>
        <w:rPr>
          <w:rFonts w:ascii="仿宋" w:hAnsi="仿宋" w:eastAsia="仿宋" w:cs="Times New Roman"/>
          <w:sz w:val="32"/>
          <w:szCs w:val="24"/>
        </w:rPr>
        <w:t>通”（通路、</w:t>
      </w:r>
      <w:r>
        <w:rPr>
          <w:rFonts w:hint="eastAsia" w:ascii="仿宋" w:hAnsi="仿宋" w:eastAsia="仿宋" w:cs="Times New Roman"/>
          <w:sz w:val="32"/>
          <w:szCs w:val="24"/>
        </w:rPr>
        <w:t>通</w:t>
      </w:r>
      <w:r>
        <w:rPr>
          <w:rFonts w:ascii="仿宋" w:hAnsi="仿宋" w:eastAsia="仿宋" w:cs="Times New Roman"/>
          <w:sz w:val="32"/>
          <w:szCs w:val="24"/>
        </w:rPr>
        <w:t>电、</w:t>
      </w:r>
      <w:r>
        <w:rPr>
          <w:rFonts w:hint="eastAsia" w:ascii="仿宋" w:hAnsi="仿宋" w:eastAsia="仿宋" w:cs="Times New Roman"/>
          <w:sz w:val="32"/>
          <w:szCs w:val="24"/>
        </w:rPr>
        <w:t>通讯、</w:t>
      </w:r>
      <w:r>
        <w:rPr>
          <w:rFonts w:ascii="仿宋" w:hAnsi="仿宋" w:eastAsia="仿宋" w:cs="Times New Roman"/>
          <w:sz w:val="32"/>
          <w:szCs w:val="24"/>
        </w:rPr>
        <w:t>通上水</w:t>
      </w:r>
      <w:r>
        <w:rPr>
          <w:rFonts w:hint="eastAsia" w:ascii="仿宋" w:hAnsi="仿宋" w:eastAsia="仿宋" w:cs="Times New Roman"/>
          <w:sz w:val="32"/>
          <w:szCs w:val="24"/>
        </w:rPr>
        <w:t>、通下水</w:t>
      </w:r>
      <w:r>
        <w:rPr>
          <w:rFonts w:ascii="仿宋" w:hAnsi="仿宋" w:eastAsia="仿宋" w:cs="Times New Roman"/>
          <w:sz w:val="32"/>
          <w:szCs w:val="24"/>
        </w:rPr>
        <w:t>），红线内场地现状交付。</w:t>
      </w:r>
    </w:p>
    <w:p>
      <w:pPr>
        <w:spacing w:line="440" w:lineRule="exact"/>
        <w:ind w:firstLine="640" w:firstLineChars="200"/>
        <w:rPr>
          <w:rFonts w:hint="eastAsia" w:ascii="仿宋" w:hAnsi="仿宋" w:eastAsia="仿宋" w:cs="Times New Roman"/>
          <w:sz w:val="32"/>
          <w:szCs w:val="24"/>
          <w:lang w:eastAsia="zh-CN"/>
        </w:rPr>
      </w:pPr>
      <w:r>
        <w:rPr>
          <w:rFonts w:hint="eastAsia" w:ascii="仿宋" w:hAnsi="仿宋" w:eastAsia="仿宋" w:cs="Times New Roman"/>
          <w:sz w:val="32"/>
          <w:szCs w:val="24"/>
        </w:rPr>
        <w:t>（三）</w:t>
      </w:r>
      <w:r>
        <w:rPr>
          <w:rFonts w:ascii="仿宋" w:hAnsi="仿宋" w:eastAsia="仿宋" w:cs="Times New Roman"/>
          <w:sz w:val="32"/>
          <w:szCs w:val="24"/>
        </w:rPr>
        <w:t>土地交付：由黄石经济开发区</w:t>
      </w:r>
      <w:r>
        <w:rPr>
          <w:rFonts w:hint="eastAsia" w:ascii="仿宋" w:hAnsi="仿宋" w:eastAsia="仿宋" w:cs="Times New Roman"/>
          <w:sz w:val="32"/>
          <w:szCs w:val="24"/>
        </w:rPr>
        <w:t>管</w:t>
      </w:r>
      <w:r>
        <w:rPr>
          <w:rFonts w:hint="eastAsia" w:ascii="仿宋" w:hAnsi="仿宋" w:eastAsia="仿宋" w:cs="Times New Roman"/>
          <w:sz w:val="32"/>
          <w:szCs w:val="24"/>
          <w:lang w:val="en-US" w:eastAsia="zh-CN"/>
        </w:rPr>
        <w:t>委会</w:t>
      </w:r>
      <w:r>
        <w:rPr>
          <w:rFonts w:hint="eastAsia" w:eastAsia="仿宋_GB2312"/>
          <w:sz w:val="32"/>
          <w:lang w:val="en-US" w:eastAsia="zh-CN"/>
        </w:rPr>
        <w:t>·铁山区政府</w:t>
      </w:r>
      <w:r>
        <w:rPr>
          <w:rFonts w:eastAsia="仿宋_GB2312"/>
          <w:sz w:val="32"/>
        </w:rPr>
        <w:t>负责。</w:t>
      </w:r>
    </w:p>
    <w:p>
      <w:pPr>
        <w:spacing w:line="440" w:lineRule="exact"/>
        <w:ind w:firstLine="640" w:firstLineChars="200"/>
        <w:rPr>
          <w:rFonts w:hint="eastAsia" w:ascii="仿宋" w:hAnsi="仿宋" w:eastAsia="仿宋" w:cs="Times New Roman"/>
          <w:bCs/>
          <w:kern w:val="2"/>
          <w:sz w:val="32"/>
          <w:szCs w:val="24"/>
          <w:lang w:val="en-US" w:eastAsia="zh-CN" w:bidi="ar-SA"/>
        </w:rPr>
      </w:pPr>
      <w:r>
        <w:rPr>
          <w:rFonts w:hint="eastAsia" w:ascii="仿宋" w:hAnsi="仿宋" w:eastAsia="仿宋" w:cs="Times New Roman"/>
          <w:sz w:val="32"/>
          <w:szCs w:val="32"/>
        </w:rPr>
        <w:t>（四）</w:t>
      </w:r>
      <w:r>
        <w:rPr>
          <w:rFonts w:hint="eastAsia" w:ascii="仿宋" w:hAnsi="仿宋" w:eastAsia="仿宋" w:cs="Times New Roman"/>
          <w:sz w:val="32"/>
          <w:szCs w:val="32"/>
          <w:lang w:val="en-US" w:eastAsia="zh-CN"/>
        </w:rPr>
        <w:t>出让成交后，竞得人必须严格按照黄石市自然资源和规划局约定的规划条件要求进行开发建设，竞得人应在出让合同签订之日起1个月内缴纳成交总价款50%，余款2</w:t>
      </w:r>
      <w:r>
        <w:rPr>
          <w:rFonts w:hint="eastAsia" w:ascii="仿宋" w:hAnsi="仿宋" w:eastAsia="仿宋" w:cs="Times New Roman"/>
          <w:bCs/>
          <w:kern w:val="2"/>
          <w:sz w:val="32"/>
          <w:szCs w:val="24"/>
          <w:lang w:val="en-US" w:eastAsia="zh-CN" w:bidi="ar-SA"/>
        </w:rPr>
        <w:t>个月内全部付清，分期支付国有建设用地使用权出让价款的，受让人在支付第二期及以后各期国有建设用地使用权出让价款时，同意按照支付第一期土地出让价款之日中国人民银行公布的贷款利率，向出让人支付利息。宗地所涉及的耕地占用税、契税、印花税没有纳入土地出让价款，由竞得者在土地出让合同签订之日起1个月内缴清。并在签订出让合同后10个工作日内建立“建设项目信息公示牌”，公示牌具体规格及公示内容由国土部门另行告知。</w:t>
      </w:r>
    </w:p>
    <w:p>
      <w:pPr>
        <w:spacing w:line="440" w:lineRule="exact"/>
        <w:ind w:firstLine="640" w:firstLineChars="200"/>
        <w:rPr>
          <w:rFonts w:hint="eastAsia" w:ascii="仿宋" w:hAnsi="仿宋" w:eastAsia="仿宋" w:cs="Times New Roman"/>
          <w:bCs/>
          <w:kern w:val="2"/>
          <w:sz w:val="32"/>
          <w:szCs w:val="24"/>
          <w:lang w:val="en-US" w:eastAsia="zh-CN" w:bidi="ar-SA"/>
        </w:rPr>
      </w:pPr>
      <w:r>
        <w:rPr>
          <w:rFonts w:hint="eastAsia" w:ascii="仿宋" w:hAnsi="仿宋" w:eastAsia="仿宋" w:cs="Times New Roman"/>
          <w:bCs/>
          <w:kern w:val="2"/>
          <w:sz w:val="32"/>
          <w:szCs w:val="24"/>
          <w:lang w:val="en-US" w:eastAsia="zh-CN" w:bidi="ar-SA"/>
        </w:rPr>
        <w:t>（五）上述宗地以现状挂牌出让，实际勘测交付面积与挂牌出让文件标明的出让面积差异率在1%以内的，面积差异不影响成交价款。</w:t>
      </w:r>
    </w:p>
    <w:p>
      <w:pPr>
        <w:widowControl/>
        <w:spacing w:line="440" w:lineRule="exact"/>
        <w:jc w:val="left"/>
        <w:rPr>
          <w:rFonts w:hint="eastAsia" w:ascii="仿宋" w:hAnsi="仿宋" w:eastAsia="仿宋" w:cs="Times New Roman"/>
          <w:bCs/>
          <w:kern w:val="2"/>
          <w:sz w:val="32"/>
          <w:szCs w:val="24"/>
          <w:lang w:val="en-US" w:eastAsia="zh-CN" w:bidi="ar-SA"/>
        </w:rPr>
      </w:pPr>
      <w:r>
        <w:rPr>
          <w:rFonts w:hint="eastAsia" w:ascii="仿宋" w:hAnsi="仿宋" w:eastAsia="仿宋" w:cs="Times New Roman"/>
          <w:bCs/>
          <w:kern w:val="2"/>
          <w:sz w:val="32"/>
          <w:szCs w:val="24"/>
          <w:lang w:val="en-US" w:eastAsia="zh-CN" w:bidi="ar-SA"/>
        </w:rPr>
        <w:t xml:space="preserve">    五、竞买资格及要求</w:t>
      </w:r>
    </w:p>
    <w:p>
      <w:pPr>
        <w:pStyle w:val="6"/>
        <w:widowControl/>
        <w:spacing w:line="440" w:lineRule="exact"/>
        <w:ind w:firstLine="640" w:firstLineChars="200"/>
        <w:jc w:val="both"/>
        <w:rPr>
          <w:rFonts w:hint="eastAsia" w:ascii="仿宋" w:hAnsi="仿宋" w:eastAsia="仿宋" w:cs="Times New Roman"/>
          <w:bCs/>
          <w:kern w:val="2"/>
          <w:sz w:val="32"/>
          <w:szCs w:val="24"/>
          <w:lang w:val="en-US" w:eastAsia="zh-CN" w:bidi="ar-SA"/>
        </w:rPr>
      </w:pPr>
      <w:r>
        <w:rPr>
          <w:rFonts w:hint="eastAsia" w:ascii="仿宋" w:hAnsi="仿宋" w:eastAsia="仿宋" w:cs="Times New Roman"/>
          <w:bCs/>
          <w:kern w:val="2"/>
          <w:sz w:val="32"/>
          <w:szCs w:val="24"/>
          <w:lang w:val="en-US" w:eastAsia="zh-CN" w:bidi="ar-SA"/>
        </w:rPr>
        <w:t>中华人民共和国境内外的法人、自然人和其他组织均可申请参加，申请人可以单独申请，也可以联合申请。</w:t>
      </w:r>
    </w:p>
    <w:p>
      <w:pPr>
        <w:spacing w:line="440" w:lineRule="exact"/>
        <w:ind w:firstLine="640" w:firstLineChars="200"/>
        <w:rPr>
          <w:rFonts w:ascii="仿宋" w:hAnsi="仿宋" w:eastAsia="仿宋" w:cs="Times New Roman"/>
          <w:color w:val="000000" w:themeColor="text1"/>
          <w:sz w:val="32"/>
          <w:szCs w:val="24"/>
        </w:rPr>
      </w:pPr>
      <w:r>
        <w:rPr>
          <w:rFonts w:hint="eastAsia" w:ascii="仿宋" w:hAnsi="仿宋" w:eastAsia="仿宋" w:cs="Times New Roman"/>
          <w:bCs/>
          <w:kern w:val="2"/>
          <w:sz w:val="32"/>
          <w:szCs w:val="24"/>
          <w:lang w:val="en-US" w:eastAsia="zh-CN" w:bidi="ar-SA"/>
        </w:rPr>
        <w:t>凡存在伪造公文骗取用地手续和非法倒卖土地、非法转让土地使用权、因企业原因造成土地闲置一年以上、因企业原因造成土地闲置一年以上、违背出让合同约定条件开发利用土地、擅自改变保障性安居工程用地用途搞商品房开发等情形之一的企业或个人，在违法违规违约行为处理完毕之前，</w:t>
      </w:r>
      <w:r>
        <w:rPr>
          <w:rFonts w:hint="eastAsia" w:ascii="仿宋" w:hAnsi="仿宋" w:eastAsia="仿宋" w:cs="Times New Roman"/>
          <w:color w:val="000000" w:themeColor="text1"/>
          <w:sz w:val="32"/>
          <w:szCs w:val="24"/>
        </w:rPr>
        <w:t>该企业（包括其控股股东及其控股股东新设企业）或个人不得参加土地竞买活动。</w:t>
      </w:r>
    </w:p>
    <w:p>
      <w:pPr>
        <w:spacing w:line="440" w:lineRule="exact"/>
        <w:ind w:firstLine="800" w:firstLineChars="250"/>
        <w:rPr>
          <w:rFonts w:hint="eastAsia" w:ascii="仿宋" w:hAnsi="仿宋" w:eastAsia="仿宋"/>
          <w:sz w:val="32"/>
          <w:szCs w:val="24"/>
        </w:rPr>
      </w:pPr>
      <w:r>
        <w:rPr>
          <w:rFonts w:hint="eastAsia" w:ascii="仿宋" w:hAnsi="仿宋" w:eastAsia="仿宋"/>
          <w:sz w:val="32"/>
          <w:szCs w:val="24"/>
        </w:rPr>
        <w:t>竞买申请人在参与网上挂牌交易活动期间须在“信用中国”网站（http://www.creditchina.gov.cn）无失信记录，若存在失信记录参加竞买活动的，其竞买申请为无效申请，竞买申请人自行承担相关法律后果。</w:t>
      </w:r>
    </w:p>
    <w:p>
      <w:pPr>
        <w:spacing w:line="440" w:lineRule="exact"/>
        <w:ind w:firstLine="800" w:firstLineChars="250"/>
        <w:rPr>
          <w:rFonts w:ascii="仿宋" w:hAnsi="仿宋" w:eastAsia="仿宋" w:cs="Times New Roman"/>
          <w:sz w:val="32"/>
          <w:szCs w:val="32"/>
        </w:rPr>
      </w:pPr>
      <w:r>
        <w:rPr>
          <w:rFonts w:hint="eastAsia" w:ascii="仿宋" w:hAnsi="仿宋" w:eastAsia="仿宋" w:cs="Times New Roman"/>
          <w:sz w:val="32"/>
          <w:szCs w:val="32"/>
        </w:rPr>
        <w:t>本次国有建设用地使用权挂牌出让只能在互联网上通过大冶市政府网“招投标”栏目国有土地网上交易系统进行。只有办理数字证书、通过网上注册、足额交纳竞买保证金的申请人，才能参加网上挂牌出让活动。</w:t>
      </w:r>
    </w:p>
    <w:p>
      <w:pPr>
        <w:spacing w:line="4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只接受网上报名、网上竞买申请及报价。竞买人的网上竞买报价一经系统确认，不能修改或撤回。</w:t>
      </w:r>
    </w:p>
    <w:p>
      <w:pPr>
        <w:spacing w:line="440" w:lineRule="exact"/>
        <w:ind w:firstLine="576" w:firstLineChars="180"/>
        <w:rPr>
          <w:rFonts w:ascii="仿宋" w:hAnsi="仿宋" w:eastAsia="仿宋" w:cs="Times New Roman"/>
          <w:sz w:val="32"/>
          <w:szCs w:val="32"/>
        </w:rPr>
      </w:pPr>
      <w:r>
        <w:rPr>
          <w:rFonts w:hint="eastAsia" w:ascii="仿宋" w:hAnsi="仿宋" w:eastAsia="仿宋" w:cs="Times New Roman"/>
          <w:sz w:val="32"/>
          <w:szCs w:val="32"/>
        </w:rPr>
        <w:t>不接受电话、邮寄、书面、口头等其他方式的竞买申请和报价。</w:t>
      </w:r>
    </w:p>
    <w:p>
      <w:pPr>
        <w:spacing w:line="440" w:lineRule="exact"/>
        <w:ind w:firstLine="579" w:firstLineChars="181"/>
        <w:rPr>
          <w:rFonts w:ascii="仿宋" w:hAnsi="仿宋" w:eastAsia="仿宋" w:cs="Times New Roman"/>
          <w:sz w:val="32"/>
          <w:szCs w:val="32"/>
        </w:rPr>
      </w:pPr>
      <w:r>
        <w:rPr>
          <w:rFonts w:hint="eastAsia" w:ascii="仿宋" w:hAnsi="仿宋" w:eastAsia="仿宋" w:cs="Times New Roman"/>
          <w:sz w:val="32"/>
          <w:szCs w:val="32"/>
        </w:rPr>
        <w:t>交纳竞买保证金的截止时间为2019年</w:t>
      </w:r>
      <w:r>
        <w:rPr>
          <w:rFonts w:hint="eastAsia" w:ascii="仿宋" w:hAnsi="仿宋" w:eastAsia="仿宋" w:cs="Times New Roman"/>
          <w:sz w:val="32"/>
          <w:szCs w:val="32"/>
          <w:lang w:val="en-US" w:eastAsia="zh-CN"/>
        </w:rPr>
        <w:t>12</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日16时（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竞买人保证金必须从单位账户汇出，在网上交易系统点击“申购”,通过交易系统在2019年</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20</w:t>
      </w:r>
      <w:r>
        <w:rPr>
          <w:rFonts w:hint="eastAsia" w:ascii="仿宋" w:hAnsi="仿宋" w:eastAsia="仿宋" w:cs="宋体"/>
          <w:color w:val="000000"/>
          <w:kern w:val="0"/>
          <w:sz w:val="32"/>
          <w:szCs w:val="32"/>
        </w:rPr>
        <w:t>日16时前,一次性足额将竞买保证金汇入我中心指定的保证金账户。</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六、竞买申请</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我中心将通过互联网站(网址：</w:t>
      </w:r>
      <w:r>
        <w:rPr>
          <w:rFonts w:hint="eastAsia" w:ascii="仿宋" w:hAnsi="仿宋" w:eastAsia="仿宋" w:cstheme="minorEastAsia"/>
          <w:sz w:val="32"/>
          <w:szCs w:val="32"/>
        </w:rPr>
        <w:t>http://www.hbdaye.gov.cn/</w:t>
      </w:r>
      <w:r>
        <w:rPr>
          <w:rFonts w:hint="eastAsia" w:ascii="仿宋" w:hAnsi="仿宋" w:eastAsia="仿宋" w:cs="宋体"/>
          <w:color w:val="000000"/>
          <w:kern w:val="0"/>
          <w:sz w:val="32"/>
          <w:szCs w:val="32"/>
        </w:rPr>
        <w:t>)“招投标”栏目发布网上挂牌出让相关文件。有意竞买者须登陆该系统，在网上浏览或下载本次挂牌出让文件，网上挂牌出让文件具体包括：</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(一)《国有建设用地使用权网上挂牌出让公告》(以下简称《出让公告》)；</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(二)《国有建设用地使用权网上挂牌出让规则》(以下简称《出让规则》)；</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(三)《国有建设用地使用权网上挂牌出让须知》(以下简称《出让须知》)；</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(四)竞买申请书；</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(五)挂牌出让宗地规划条件通知书；</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(六)《国有建设用地网上挂牌出让成交确认书》(以下简称《成交确认书》)；</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(七)宗地界址图；</w:t>
      </w:r>
    </w:p>
    <w:p>
      <w:pPr>
        <w:topLinePunct/>
        <w:snapToGrid w:val="0"/>
        <w:spacing w:line="440" w:lineRule="exact"/>
        <w:ind w:firstLine="640" w:firstLineChars="200"/>
        <w:textAlignment w:val="center"/>
        <w:rPr>
          <w:rFonts w:ascii="仿宋" w:hAnsi="仿宋" w:eastAsia="仿宋" w:cs="宋体"/>
          <w:kern w:val="0"/>
          <w:sz w:val="32"/>
          <w:szCs w:val="32"/>
        </w:rPr>
      </w:pPr>
      <w:r>
        <w:rPr>
          <w:rFonts w:hint="eastAsia" w:ascii="仿宋" w:hAnsi="仿宋" w:eastAsia="仿宋" w:cs="宋体"/>
          <w:kern w:val="0"/>
          <w:sz w:val="32"/>
          <w:szCs w:val="32"/>
        </w:rPr>
        <w:t>竞买申请及竞买保证金一经提交确认后，即视为竞买人对公开出让文件及地块现状无异议并全部接受，并对有关承诺承担法律责任。</w:t>
      </w:r>
    </w:p>
    <w:p>
      <w:pPr>
        <w:spacing w:line="440" w:lineRule="exact"/>
        <w:ind w:firstLine="736" w:firstLineChars="230"/>
        <w:rPr>
          <w:rFonts w:ascii="仿宋" w:hAnsi="仿宋" w:eastAsia="仿宋" w:cs="Times New Roman"/>
          <w:sz w:val="32"/>
          <w:szCs w:val="32"/>
        </w:rPr>
      </w:pPr>
      <w:r>
        <w:rPr>
          <w:rFonts w:hint="eastAsia" w:ascii="仿宋" w:hAnsi="仿宋" w:eastAsia="仿宋" w:cs="Times New Roman"/>
          <w:sz w:val="32"/>
          <w:szCs w:val="32"/>
        </w:rPr>
        <w:t>七、资格审查</w:t>
      </w:r>
    </w:p>
    <w:p>
      <w:pPr>
        <w:spacing w:line="440" w:lineRule="exact"/>
        <w:ind w:firstLine="736" w:firstLineChars="230"/>
        <w:rPr>
          <w:rFonts w:ascii="仿宋" w:hAnsi="仿宋" w:eastAsia="仿宋" w:cs="Times New Roman"/>
          <w:sz w:val="32"/>
          <w:szCs w:val="32"/>
        </w:rPr>
      </w:pPr>
      <w:r>
        <w:rPr>
          <w:rFonts w:hint="eastAsia" w:ascii="仿宋" w:hAnsi="仿宋" w:eastAsia="仿宋" w:cs="Times New Roman"/>
          <w:sz w:val="32"/>
          <w:szCs w:val="32"/>
        </w:rPr>
        <w:t>我中心通过网上挂牌出让交易系统自动确认竞买人资格。通过我中心网上挂牌出让交易系统提交竞买申请、竞买保证金，且通过交易系统资格审查的，方能取得竞买资格，网上将自动生成《竞买资格确认书》。</w:t>
      </w:r>
    </w:p>
    <w:p>
      <w:pPr>
        <w:spacing w:line="440" w:lineRule="exact"/>
        <w:ind w:firstLine="576" w:firstLineChars="180"/>
        <w:rPr>
          <w:rFonts w:ascii="仿宋" w:hAnsi="仿宋" w:eastAsia="仿宋" w:cs="Times New Roman"/>
          <w:sz w:val="32"/>
          <w:szCs w:val="32"/>
        </w:rPr>
      </w:pPr>
      <w:r>
        <w:rPr>
          <w:rFonts w:hint="eastAsia" w:ascii="仿宋" w:hAnsi="仿宋" w:eastAsia="仿宋" w:cs="Times New Roman"/>
          <w:sz w:val="32"/>
          <w:szCs w:val="32"/>
        </w:rPr>
        <w:t>经审查，有下列情形之一的，为无效申请：</w:t>
      </w:r>
    </w:p>
    <w:p>
      <w:pPr>
        <w:spacing w:line="440" w:lineRule="exact"/>
        <w:ind w:firstLine="420"/>
        <w:rPr>
          <w:rFonts w:ascii="仿宋" w:hAnsi="仿宋" w:eastAsia="仿宋" w:cs="Times New Roman"/>
          <w:sz w:val="32"/>
          <w:szCs w:val="32"/>
        </w:rPr>
      </w:pPr>
      <w:r>
        <w:rPr>
          <w:rFonts w:hint="eastAsia" w:ascii="仿宋" w:hAnsi="仿宋" w:eastAsia="仿宋" w:cs="Times New Roman"/>
          <w:sz w:val="32"/>
          <w:szCs w:val="32"/>
        </w:rPr>
        <w:t>（一）申请人不具备竞买资格的；</w:t>
      </w:r>
    </w:p>
    <w:p>
      <w:pPr>
        <w:spacing w:line="440" w:lineRule="exact"/>
        <w:ind w:firstLine="420"/>
        <w:rPr>
          <w:rFonts w:ascii="仿宋" w:hAnsi="仿宋" w:eastAsia="仿宋" w:cs="Times New Roman"/>
          <w:sz w:val="32"/>
          <w:szCs w:val="32"/>
        </w:rPr>
      </w:pPr>
      <w:r>
        <w:rPr>
          <w:rFonts w:hint="eastAsia" w:ascii="仿宋" w:hAnsi="仿宋" w:eastAsia="仿宋" w:cs="Times New Roman"/>
          <w:sz w:val="32"/>
          <w:szCs w:val="32"/>
        </w:rPr>
        <w:t>（二）未按规定交纳竞买保证金的；</w:t>
      </w:r>
    </w:p>
    <w:p>
      <w:pPr>
        <w:spacing w:line="440" w:lineRule="exact"/>
        <w:ind w:firstLine="420"/>
        <w:rPr>
          <w:rFonts w:ascii="仿宋" w:hAnsi="仿宋" w:eastAsia="仿宋" w:cs="Times New Roman"/>
          <w:sz w:val="32"/>
          <w:szCs w:val="32"/>
        </w:rPr>
      </w:pPr>
      <w:r>
        <w:rPr>
          <w:rFonts w:hint="eastAsia" w:ascii="仿宋" w:hAnsi="仿宋" w:eastAsia="仿宋" w:cs="Times New Roman"/>
          <w:sz w:val="32"/>
          <w:szCs w:val="32"/>
        </w:rPr>
        <w:t>（三）申请文件不齐全或不符合规定的；</w:t>
      </w:r>
    </w:p>
    <w:p>
      <w:pPr>
        <w:spacing w:line="440" w:lineRule="exact"/>
        <w:ind w:firstLine="420"/>
        <w:rPr>
          <w:rFonts w:ascii="仿宋" w:hAnsi="仿宋" w:eastAsia="仿宋" w:cs="仿宋_GB2312"/>
          <w:sz w:val="32"/>
          <w:szCs w:val="32"/>
          <w:lang w:val="zh-CN"/>
        </w:rPr>
      </w:pPr>
      <w:r>
        <w:rPr>
          <w:rFonts w:hint="eastAsia" w:ascii="仿宋" w:hAnsi="仿宋" w:eastAsia="仿宋" w:cs="仿宋_GB2312"/>
          <w:sz w:val="32"/>
          <w:szCs w:val="32"/>
          <w:lang w:val="zh-CN"/>
        </w:rPr>
        <w:t>（四）法律法规规定的其他情形。</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八、答疑及现场踏勘</w:t>
      </w:r>
    </w:p>
    <w:p>
      <w:pPr>
        <w:spacing w:line="4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竞买人必须全面阅读有关网上挂牌出让文件，对挂牌文件及宗地现状有疑问的，可通过电话向大冶市公共资源交易中心咨询，大冶市公共资源交易中心及时就咨询事项给予答复 (咨询电话：3188055)。也可向大冶市自然资源和规划局及大冶市公共资源交易中心申请组织现场踏勘。</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九、本次挂牌出让活动有关时间</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挂牌时间为</w:t>
      </w:r>
      <w:r>
        <w:rPr>
          <w:rFonts w:hint="eastAsia" w:ascii="仿宋" w:hAnsi="仿宋" w:eastAsia="仿宋" w:cs="宋体"/>
          <w:color w:val="000000"/>
          <w:kern w:val="0"/>
          <w:sz w:val="32"/>
          <w:szCs w:val="32"/>
          <w:lang w:val="en-US" w:eastAsia="zh-CN"/>
        </w:rPr>
        <w:t>10</w:t>
      </w:r>
      <w:r>
        <w:rPr>
          <w:rFonts w:hint="eastAsia" w:ascii="仿宋" w:hAnsi="仿宋" w:eastAsia="仿宋" w:cs="宋体"/>
          <w:color w:val="000000"/>
          <w:kern w:val="0"/>
          <w:sz w:val="32"/>
          <w:szCs w:val="32"/>
        </w:rPr>
        <w:t>日，具体如下：</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1、挂牌起始时间：2019年</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日上午10时；</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2、挂牌截止时间：2019年</w:t>
      </w: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24</w:t>
      </w:r>
      <w:r>
        <w:rPr>
          <w:rFonts w:hint="eastAsia" w:ascii="仿宋" w:hAnsi="仿宋" w:eastAsia="仿宋" w:cs="宋体"/>
          <w:color w:val="000000"/>
          <w:kern w:val="0"/>
          <w:sz w:val="32"/>
          <w:szCs w:val="32"/>
        </w:rPr>
        <w:t>日上午10时。</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十、挂牌程序</w:t>
      </w:r>
    </w:p>
    <w:p>
      <w:pPr>
        <w:spacing w:line="440" w:lineRule="exact"/>
        <w:ind w:firstLine="584" w:firstLineChars="200"/>
        <w:rPr>
          <w:rFonts w:ascii="仿宋" w:hAnsi="仿宋" w:eastAsia="仿宋" w:cs="宋体"/>
          <w:color w:val="000000"/>
          <w:kern w:val="0"/>
          <w:sz w:val="32"/>
          <w:szCs w:val="32"/>
        </w:rPr>
      </w:pPr>
      <w:r>
        <w:rPr>
          <w:rFonts w:hint="eastAsia" w:ascii="仿宋" w:hAnsi="仿宋" w:eastAsia="仿宋" w:cs="宋体"/>
          <w:color w:val="000000"/>
          <w:spacing w:val="-14"/>
          <w:kern w:val="0"/>
          <w:sz w:val="32"/>
          <w:szCs w:val="32"/>
        </w:rPr>
        <w:t>(一)在中国土地市场网、黄石市公共资源交易中心网、大冶市政府网、大冶市自然资源和规划局网、今日大冶等网站和媒体发布网上挂牌出让公告、出让宗地相关信息；</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(二)在挂牌期内，有意竞买者通过注册申请并缴纳竞买保证金至指定账户后，取得竞买资格；</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(三)竞买人在挂牌期内参与竞买，报价经系统确认无误后即显示为当前报价；</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(四)网上交易系统根据挂牌截止时的最高报价且不低于底价的自动确定竞得人，竞得人可以下载系统生成的《成交确认书》及相关文件。</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（五）出让结果公布</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大冶市公共资源交易中心将在此次国有土地使用权挂牌出让活动结束后10个工作日内，在中国土地市场网、黄石市公共资源交易中心网、</w:t>
      </w:r>
      <w:r>
        <w:rPr>
          <w:rFonts w:hint="eastAsia" w:ascii="仿宋" w:hAnsi="仿宋" w:eastAsia="仿宋" w:cs="宋体"/>
          <w:color w:val="000000"/>
          <w:spacing w:val="-14"/>
          <w:kern w:val="0"/>
          <w:sz w:val="32"/>
          <w:szCs w:val="32"/>
        </w:rPr>
        <w:t>大冶市政府网等网站</w:t>
      </w:r>
      <w:r>
        <w:rPr>
          <w:rFonts w:hint="eastAsia" w:ascii="仿宋" w:hAnsi="仿宋" w:eastAsia="仿宋" w:cs="仿宋_GB2312"/>
          <w:sz w:val="32"/>
          <w:szCs w:val="32"/>
          <w:lang w:val="zh-CN"/>
        </w:rPr>
        <w:t>上公布本次国有建设用地使用权网上挂牌出让结果。</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十一、本次网上挂牌出让交易的报价规则详见大冶市政府网“招投标”栏目国有土地网上交易系统</w:t>
      </w:r>
      <w:r>
        <w:rPr>
          <w:rFonts w:hint="eastAsia" w:ascii="仿宋" w:hAnsi="仿宋" w:eastAsia="仿宋" w:cs="宋体"/>
          <w:sz w:val="32"/>
          <w:szCs w:val="32"/>
          <w:lang w:val="zh-CN"/>
        </w:rPr>
        <w:t>上</w:t>
      </w:r>
      <w:r>
        <w:rPr>
          <w:rFonts w:hint="eastAsia" w:ascii="仿宋" w:hAnsi="仿宋" w:eastAsia="仿宋" w:cs="仿宋_GB2312"/>
          <w:sz w:val="32"/>
          <w:szCs w:val="32"/>
          <w:lang w:val="zh-CN"/>
        </w:rPr>
        <w:t>发布的《交易规则》第四章、第五章。</w:t>
      </w:r>
    </w:p>
    <w:p>
      <w:pPr>
        <w:pStyle w:val="3"/>
        <w:spacing w:line="560" w:lineRule="exact"/>
        <w:rPr>
          <w:rFonts w:hint="eastAsia" w:ascii="Times New Roman"/>
          <w:szCs w:val="22"/>
          <w:highlight w:val="none"/>
        </w:rPr>
      </w:pPr>
      <w:r>
        <w:rPr>
          <w:rFonts w:hint="eastAsia" w:ascii="仿宋" w:hAnsi="仿宋" w:eastAsia="仿宋"/>
        </w:rPr>
        <w:t>（一）</w:t>
      </w:r>
      <w:r>
        <w:rPr>
          <w:rFonts w:hint="eastAsia" w:ascii="Times New Roman"/>
          <w:szCs w:val="22"/>
          <w:highlight w:val="none"/>
        </w:rPr>
        <w:t>HG1</w:t>
      </w:r>
      <w:r>
        <w:rPr>
          <w:rFonts w:hint="eastAsia" w:ascii="Times New Roman"/>
          <w:szCs w:val="22"/>
          <w:highlight w:val="none"/>
          <w:lang w:val="en-US" w:eastAsia="zh-CN"/>
        </w:rPr>
        <w:t>9036</w:t>
      </w:r>
      <w:r>
        <w:rPr>
          <w:rFonts w:hint="eastAsia" w:ascii="Times New Roman"/>
          <w:szCs w:val="22"/>
          <w:highlight w:val="none"/>
        </w:rPr>
        <w:t>号地块：出让起始价为人民币大写</w:t>
      </w:r>
      <w:r>
        <w:rPr>
          <w:rFonts w:hint="eastAsia" w:ascii="Times New Roman"/>
          <w:szCs w:val="22"/>
          <w:highlight w:val="none"/>
          <w:lang w:val="en-US" w:eastAsia="zh-CN"/>
        </w:rPr>
        <w:t>伍仟贰佰捌拾捌</w:t>
      </w:r>
      <w:r>
        <w:rPr>
          <w:rFonts w:hint="eastAsia" w:ascii="Times New Roman"/>
          <w:szCs w:val="22"/>
          <w:highlight w:val="none"/>
          <w:lang w:eastAsia="zh-CN"/>
        </w:rPr>
        <w:t>万</w:t>
      </w:r>
      <w:r>
        <w:rPr>
          <w:rFonts w:ascii="Times New Roman"/>
          <w:szCs w:val="22"/>
          <w:highlight w:val="none"/>
        </w:rPr>
        <w:t>元整</w:t>
      </w:r>
      <w:r>
        <w:rPr>
          <w:rFonts w:hint="eastAsia" w:ascii="Times New Roman"/>
          <w:szCs w:val="22"/>
          <w:highlight w:val="none"/>
        </w:rPr>
        <w:t>（￥：</w:t>
      </w:r>
      <w:r>
        <w:rPr>
          <w:rFonts w:hint="eastAsia" w:ascii="Times New Roman"/>
          <w:szCs w:val="22"/>
          <w:highlight w:val="none"/>
          <w:lang w:val="en-US" w:eastAsia="zh-CN"/>
        </w:rPr>
        <w:t>5288</w:t>
      </w:r>
      <w:r>
        <w:rPr>
          <w:rFonts w:hint="eastAsia" w:ascii="Times New Roman"/>
          <w:szCs w:val="22"/>
          <w:highlight w:val="none"/>
        </w:rPr>
        <w:t>0000.00）整；</w:t>
      </w:r>
    </w:p>
    <w:p>
      <w:pPr>
        <w:pStyle w:val="3"/>
        <w:spacing w:line="560" w:lineRule="exact"/>
        <w:rPr>
          <w:rFonts w:hint="eastAsia" w:ascii="Times New Roman"/>
          <w:szCs w:val="22"/>
          <w:highlight w:val="none"/>
        </w:rPr>
      </w:pPr>
      <w:r>
        <w:rPr>
          <w:rFonts w:hint="eastAsia" w:ascii="Times New Roman"/>
          <w:szCs w:val="22"/>
          <w:highlight w:val="none"/>
        </w:rPr>
        <w:t>HG1</w:t>
      </w:r>
      <w:r>
        <w:rPr>
          <w:rFonts w:hint="eastAsia" w:ascii="Times New Roman"/>
          <w:szCs w:val="22"/>
          <w:highlight w:val="none"/>
          <w:lang w:val="en-US" w:eastAsia="zh-CN"/>
        </w:rPr>
        <w:t>9037</w:t>
      </w:r>
      <w:r>
        <w:rPr>
          <w:rFonts w:hint="eastAsia" w:ascii="Times New Roman"/>
          <w:szCs w:val="22"/>
          <w:highlight w:val="none"/>
        </w:rPr>
        <w:t>号地块：出让起始价为人民币大写</w:t>
      </w:r>
      <w:r>
        <w:rPr>
          <w:rFonts w:hint="eastAsia" w:ascii="Times New Roman"/>
          <w:szCs w:val="22"/>
          <w:highlight w:val="none"/>
          <w:lang w:val="en-US" w:eastAsia="zh-CN"/>
        </w:rPr>
        <w:t>叁仟柒佰捌拾肆</w:t>
      </w:r>
      <w:r>
        <w:rPr>
          <w:rFonts w:hint="eastAsia" w:ascii="Times New Roman"/>
          <w:szCs w:val="22"/>
          <w:highlight w:val="none"/>
          <w:lang w:eastAsia="zh-CN"/>
        </w:rPr>
        <w:t>万</w:t>
      </w:r>
      <w:r>
        <w:rPr>
          <w:rFonts w:ascii="Times New Roman"/>
          <w:szCs w:val="22"/>
          <w:highlight w:val="none"/>
        </w:rPr>
        <w:t>元整</w:t>
      </w:r>
      <w:r>
        <w:rPr>
          <w:rFonts w:hint="eastAsia" w:ascii="Times New Roman"/>
          <w:szCs w:val="22"/>
          <w:highlight w:val="none"/>
        </w:rPr>
        <w:t>（￥：</w:t>
      </w:r>
      <w:r>
        <w:rPr>
          <w:rFonts w:hint="eastAsia" w:ascii="Times New Roman"/>
          <w:szCs w:val="22"/>
          <w:highlight w:val="none"/>
          <w:lang w:val="en-US" w:eastAsia="zh-CN"/>
        </w:rPr>
        <w:t>3784</w:t>
      </w:r>
      <w:r>
        <w:rPr>
          <w:rFonts w:hint="eastAsia" w:ascii="Times New Roman"/>
          <w:szCs w:val="22"/>
          <w:highlight w:val="none"/>
        </w:rPr>
        <w:t>0000.00）整；</w:t>
      </w:r>
    </w:p>
    <w:p>
      <w:pPr>
        <w:pStyle w:val="3"/>
        <w:spacing w:line="560" w:lineRule="exact"/>
        <w:rPr>
          <w:rFonts w:ascii="仿宋" w:hAnsi="仿宋" w:eastAsia="仿宋" w:cs="Times New Roman"/>
        </w:rPr>
      </w:pPr>
      <w:r>
        <w:rPr>
          <w:rFonts w:hint="eastAsia" w:ascii="Times New Roman" w:eastAsia="仿宋_GB2312"/>
          <w:kern w:val="2"/>
          <w:sz w:val="32"/>
          <w:szCs w:val="22"/>
          <w:lang w:val="en-US" w:eastAsia="zh-CN" w:bidi="ar-SA"/>
        </w:rPr>
        <w:t>增价幅度为人民币大写壹拾万元或壹拾万元的整倍数。</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 xml:space="preserve"> (二)初次报价不得低于起始价，初次报价后的每次报价应当比当前最高报价递增一个加价幅度，加价幅度不得小于本须知规定的增价幅度。</w:t>
      </w:r>
    </w:p>
    <w:p>
      <w:pPr>
        <w:spacing w:line="440" w:lineRule="exact"/>
        <w:ind w:firstLine="480" w:firstLineChars="150"/>
        <w:rPr>
          <w:rFonts w:ascii="仿宋" w:hAnsi="仿宋" w:eastAsia="仿宋" w:cs="仿宋_GB2312"/>
          <w:sz w:val="32"/>
          <w:szCs w:val="32"/>
          <w:lang w:val="zh-CN"/>
        </w:rPr>
      </w:pPr>
      <w:r>
        <w:rPr>
          <w:rFonts w:hint="eastAsia" w:ascii="仿宋" w:hAnsi="仿宋" w:eastAsia="仿宋" w:cs="仿宋_GB2312"/>
          <w:sz w:val="32"/>
          <w:szCs w:val="32"/>
          <w:lang w:val="zh-CN"/>
        </w:rPr>
        <w:t xml:space="preserve"> (三)在报价期间，竞买人可多次报价。</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(四)竞买人通过系统提交的报价一经报出，不得撤回。</w:t>
      </w:r>
    </w:p>
    <w:p>
      <w:pPr>
        <w:spacing w:line="44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(五)竞买人报价有下列情形之一的，为无效报价：</w:t>
      </w:r>
    </w:p>
    <w:p>
      <w:pPr>
        <w:spacing w:line="44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1、报价因竞买人网络故障未在挂牌报价期限内报价的；</w:t>
      </w:r>
    </w:p>
    <w:p>
      <w:pPr>
        <w:spacing w:line="440" w:lineRule="exact"/>
        <w:ind w:firstLine="640"/>
        <w:rPr>
          <w:rFonts w:ascii="仿宋" w:hAnsi="仿宋" w:eastAsia="仿宋" w:cs="宋体"/>
          <w:sz w:val="32"/>
          <w:szCs w:val="32"/>
          <w:lang w:val="zh-CN"/>
        </w:rPr>
      </w:pPr>
      <w:r>
        <w:rPr>
          <w:rFonts w:hint="eastAsia" w:ascii="仿宋" w:hAnsi="仿宋" w:eastAsia="仿宋" w:cs="宋体"/>
          <w:sz w:val="32"/>
          <w:szCs w:val="32"/>
          <w:lang w:val="zh-CN"/>
        </w:rPr>
        <w:t>2、报价不符合报价规则的；</w:t>
      </w:r>
    </w:p>
    <w:p>
      <w:pPr>
        <w:spacing w:line="440" w:lineRule="exact"/>
        <w:ind w:firstLine="640"/>
        <w:rPr>
          <w:rFonts w:ascii="仿宋" w:hAnsi="仿宋" w:eastAsia="仿宋" w:cs="宋体"/>
          <w:sz w:val="32"/>
          <w:szCs w:val="32"/>
          <w:lang w:val="zh-CN"/>
        </w:rPr>
      </w:pPr>
      <w:r>
        <w:rPr>
          <w:rFonts w:hint="eastAsia" w:ascii="仿宋" w:hAnsi="仿宋" w:eastAsia="仿宋" w:cs="宋体"/>
          <w:sz w:val="32"/>
          <w:szCs w:val="32"/>
          <w:lang w:val="zh-CN"/>
        </w:rPr>
        <w:t>3、报价与竞买文件不符的；</w:t>
      </w:r>
    </w:p>
    <w:p>
      <w:pPr>
        <w:spacing w:line="440" w:lineRule="exact"/>
        <w:ind w:firstLine="640"/>
        <w:rPr>
          <w:rFonts w:ascii="仿宋" w:hAnsi="仿宋" w:eastAsia="仿宋" w:cs="宋体"/>
          <w:sz w:val="32"/>
          <w:szCs w:val="32"/>
          <w:lang w:val="zh-CN"/>
        </w:rPr>
      </w:pPr>
      <w:r>
        <w:rPr>
          <w:rFonts w:hint="eastAsia" w:ascii="仿宋" w:hAnsi="仿宋" w:eastAsia="仿宋" w:cs="宋体"/>
          <w:sz w:val="32"/>
          <w:szCs w:val="32"/>
          <w:lang w:val="zh-CN"/>
        </w:rPr>
        <w:t>4、报价不符合挂牌文件规定的其他情形的。</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十二、注意事项</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挂牌期满，网上挂牌出让成交确认系统根据下列条件自动确定竞得人：</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(一)在挂牌期限内，只有一个竞买人报价，且报价等于或高于底价，挂牌成交；</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(二)在挂牌期限内，有两个或者两个以上竞买人报价的，报价等于或高于底价，且出价最高者为竞得人；</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(三)在挂牌期限内，无应价者或竞买人的报价均低于底价的，挂牌不成交；</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（四）在挂牌期限截止前10分钟，竞买人必须在挂牌报价期间最少有一次报价，才能进入最后的限时报价；</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(五)在挂牌期限截止时前10分钟内仍有竞买人报价的，将对挂牌宗地进行网上限时竞价，报价最高且报价等于或高于底价者为竞得人。</w:t>
      </w:r>
    </w:p>
    <w:p>
      <w:pPr>
        <w:spacing w:line="440" w:lineRule="exact"/>
        <w:ind w:firstLine="640" w:firstLineChars="200"/>
        <w:rPr>
          <w:rFonts w:ascii="仿宋" w:hAnsi="仿宋" w:eastAsia="仿宋"/>
          <w:color w:val="000000" w:themeColor="text1"/>
          <w:sz w:val="32"/>
        </w:rPr>
      </w:pPr>
      <w:r>
        <w:rPr>
          <w:rFonts w:hint="eastAsia" w:ascii="仿宋" w:hAnsi="仿宋" w:eastAsia="仿宋"/>
          <w:color w:val="000000" w:themeColor="text1"/>
          <w:sz w:val="32"/>
        </w:rPr>
        <w:t>(六)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自然资源和规划局通过“信用中国”网站查询竞得人是否存在失信记录并截图取证，竞得人存在失信记录的取消其竞得资格，交易结果无效，交纳的竞买保证金不予退还。</w:t>
      </w:r>
    </w:p>
    <w:p>
      <w:pPr>
        <w:spacing w:line="440" w:lineRule="exact"/>
        <w:ind w:firstLine="480" w:firstLineChars="150"/>
        <w:rPr>
          <w:rFonts w:ascii="仿宋" w:hAnsi="仿宋" w:eastAsia="仿宋" w:cs="Times New Roman"/>
          <w:sz w:val="32"/>
          <w:szCs w:val="32"/>
        </w:rPr>
      </w:pPr>
      <w:r>
        <w:rPr>
          <w:rFonts w:hint="eastAsia" w:ascii="仿宋" w:hAnsi="仿宋" w:eastAsia="仿宋" w:cs="宋体"/>
          <w:color w:val="000000"/>
          <w:kern w:val="0"/>
          <w:sz w:val="32"/>
          <w:szCs w:val="32"/>
        </w:rPr>
        <w:t>（七）</w:t>
      </w:r>
      <w:r>
        <w:rPr>
          <w:rFonts w:hint="eastAsia" w:ascii="仿宋" w:hAnsi="仿宋" w:eastAsia="仿宋" w:cs="Times New Roman"/>
          <w:sz w:val="32"/>
          <w:szCs w:val="32"/>
        </w:rPr>
        <w:t>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（八）本次公开出让地块均设有出让底价，在公开出让活动结束前须严格保密。</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仿宋_GB2312"/>
          <w:sz w:val="32"/>
          <w:szCs w:val="32"/>
          <w:lang w:val="zh-CN"/>
        </w:rPr>
        <w:t>(十)</w:t>
      </w:r>
      <w:r>
        <w:rPr>
          <w:rFonts w:hint="eastAsia" w:ascii="仿宋" w:hAnsi="仿宋" w:eastAsia="仿宋" w:cs="宋体"/>
          <w:color w:val="000000"/>
          <w:kern w:val="0"/>
          <w:sz w:val="32"/>
          <w:szCs w:val="32"/>
        </w:rPr>
        <w:t>竞得人应当在成交之日起3个工作日内交清交易服务费，收取费用按照鄂价工服[2017]61号文件由竞得人全额支付。同时将竞买保证金转作受让地块的定金；未竞得人的竞买保证金将于网上挂牌活动结束后5个工作日内不计利息全额退还。</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(十一)有下列情形之一的，大冶市公共资源交易中心将中（终）止挂牌活动：</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1、因系统遭受破坏或发生电力、网络故障等不可抗力以及网络恶意入侵等非挂牌人因素，导致系统不能正常运行的；</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2、竞买人串通损害国家利益、社会利益或他人合法权益的；</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3、出让工作人员私下接触竞买人，足以影响公开出让公正性的；</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4、应当依法中（终）止公开出让活动的其他情形。</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w:t>
      </w:r>
      <w:r>
        <w:rPr>
          <w:rFonts w:hint="eastAsia" w:ascii="仿宋" w:hAnsi="仿宋" w:eastAsia="仿宋" w:cs="仿宋_GB2312"/>
          <w:sz w:val="32"/>
          <w:szCs w:val="32"/>
        </w:rPr>
        <w:t>二</w:t>
      </w:r>
      <w:r>
        <w:rPr>
          <w:rFonts w:hint="eastAsia" w:ascii="仿宋" w:hAnsi="仿宋" w:eastAsia="仿宋" w:cs="仿宋_GB2312"/>
          <w:sz w:val="32"/>
          <w:szCs w:val="32"/>
          <w:lang w:val="zh-CN"/>
        </w:rPr>
        <w:t>)竞得人有下列行为的视为违约，视为违约，挂牌人可取消其竞得人资格，竞买保证金不予退还：</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1、竞得人逾期或拒绝签订《成交确认书》的；</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2、竞得人逾期或拒绝签订《国有建设用地使用权出让合同》的；</w:t>
      </w:r>
    </w:p>
    <w:p>
      <w:pPr>
        <w:topLinePunct/>
        <w:snapToGrid w:val="0"/>
        <w:spacing w:line="440" w:lineRule="exact"/>
        <w:ind w:firstLine="480" w:firstLineChars="150"/>
        <w:textAlignment w:val="center"/>
        <w:rPr>
          <w:rFonts w:ascii="仿宋" w:hAnsi="仿宋" w:eastAsia="仿宋" w:cs="宋体"/>
          <w:color w:val="333333"/>
          <w:kern w:val="0"/>
          <w:sz w:val="32"/>
          <w:szCs w:val="32"/>
        </w:rPr>
      </w:pPr>
      <w:r>
        <w:rPr>
          <w:rFonts w:hint="eastAsia" w:ascii="仿宋" w:hAnsi="仿宋" w:eastAsia="仿宋" w:cs="仿宋_GB2312"/>
          <w:color w:val="000000"/>
          <w:kern w:val="0"/>
          <w:sz w:val="32"/>
          <w:szCs w:val="32"/>
          <w:lang w:val="zh-CN"/>
        </w:rPr>
        <w:t>(十</w:t>
      </w:r>
      <w:r>
        <w:rPr>
          <w:rFonts w:hint="eastAsia" w:ascii="仿宋" w:hAnsi="仿宋" w:eastAsia="仿宋" w:cs="仿宋_GB2312"/>
          <w:color w:val="000000"/>
          <w:kern w:val="0"/>
          <w:sz w:val="32"/>
          <w:szCs w:val="32"/>
        </w:rPr>
        <w:t>三</w:t>
      </w:r>
      <w:r>
        <w:rPr>
          <w:rFonts w:hint="eastAsia" w:ascii="仿宋" w:hAnsi="仿宋" w:eastAsia="仿宋" w:cs="仿宋_GB2312"/>
          <w:color w:val="000000"/>
          <w:kern w:val="0"/>
          <w:sz w:val="32"/>
          <w:szCs w:val="32"/>
          <w:lang w:val="zh-CN"/>
        </w:rPr>
        <w:t>)竞得人有下列行为之一的，竞得结果无效，造成损失的，应当依法承担赔偿责任：</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1、采取行贿、恶意串通等非法手段竞得的；</w:t>
      </w:r>
    </w:p>
    <w:p>
      <w:pPr>
        <w:topLinePunct/>
        <w:snapToGrid w:val="0"/>
        <w:spacing w:line="440" w:lineRule="exact"/>
        <w:ind w:left="160" w:leftChars="76" w:firstLine="480" w:firstLineChars="15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2、提供的注册信息不真实、不准确、不完整等原因造成宗地出让无法成交的；</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3、不按网上注册时登记的内容提供有关文件材料，或提供虚假文件材料、隐瞒事实，引起出让纠纷的；</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4、构成违约责任的其他行为。</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（十四）上述宗地出让成交价为宗地的总地价款。</w:t>
      </w:r>
    </w:p>
    <w:p>
      <w:pPr>
        <w:topLinePunct/>
        <w:snapToGrid w:val="0"/>
        <w:spacing w:line="440" w:lineRule="exact"/>
        <w:ind w:firstLine="640" w:firstLineChars="200"/>
        <w:textAlignment w:val="center"/>
        <w:rPr>
          <w:rFonts w:ascii="仿宋" w:hAnsi="仿宋" w:eastAsia="仿宋" w:cs="仿宋_GB2312"/>
          <w:color w:val="000000"/>
          <w:kern w:val="0"/>
          <w:sz w:val="32"/>
          <w:szCs w:val="32"/>
          <w:lang w:val="zh-CN"/>
        </w:rPr>
      </w:pPr>
      <w:r>
        <w:rPr>
          <w:rFonts w:hint="eastAsia" w:ascii="仿宋" w:hAnsi="仿宋" w:eastAsia="仿宋" w:cs="宋体"/>
          <w:color w:val="000000"/>
          <w:kern w:val="0"/>
          <w:sz w:val="32"/>
          <w:szCs w:val="32"/>
        </w:rPr>
        <w:t>（十</w:t>
      </w:r>
      <w:r>
        <w:rPr>
          <w:rFonts w:hint="eastAsia" w:ascii="仿宋" w:hAnsi="仿宋" w:eastAsia="仿宋" w:cs="仿宋_GB2312"/>
          <w:color w:val="000000"/>
          <w:kern w:val="0"/>
          <w:sz w:val="32"/>
          <w:szCs w:val="32"/>
          <w:lang w:val="zh-CN"/>
        </w:rPr>
        <w:t>五</w:t>
      </w:r>
      <w:r>
        <w:rPr>
          <w:rFonts w:hint="eastAsia" w:ascii="仿宋" w:hAnsi="仿宋" w:eastAsia="仿宋" w:cs="宋体"/>
          <w:color w:val="000000"/>
          <w:kern w:val="0"/>
          <w:sz w:val="32"/>
          <w:szCs w:val="32"/>
        </w:rPr>
        <w:t>）竞得人与出让人签订</w:t>
      </w:r>
      <w:r>
        <w:rPr>
          <w:rFonts w:hint="eastAsia" w:ascii="仿宋" w:hAnsi="仿宋" w:eastAsia="仿宋" w:cs="仿宋_GB2312"/>
          <w:color w:val="000000"/>
          <w:kern w:val="0"/>
          <w:sz w:val="32"/>
          <w:szCs w:val="32"/>
          <w:lang w:val="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topLinePunct/>
        <w:snapToGrid w:val="0"/>
        <w:spacing w:line="440" w:lineRule="exact"/>
        <w:ind w:firstLine="640" w:firstLineChars="200"/>
        <w:textAlignment w:val="center"/>
        <w:rPr>
          <w:rFonts w:ascii="仿宋" w:hAnsi="仿宋" w:eastAsia="仿宋" w:cs="仿宋_GB2312"/>
          <w:color w:val="000000"/>
          <w:kern w:val="0"/>
          <w:sz w:val="32"/>
          <w:szCs w:val="32"/>
          <w:lang w:val="zh-CN"/>
        </w:rPr>
      </w:pPr>
      <w:r>
        <w:rPr>
          <w:rFonts w:hint="eastAsia" w:ascii="仿宋" w:hAnsi="仿宋" w:eastAsia="仿宋" w:cs="仿宋_GB2312"/>
          <w:color w:val="000000"/>
          <w:kern w:val="0"/>
          <w:sz w:val="32"/>
          <w:szCs w:val="32"/>
          <w:lang w:val="zh-CN"/>
        </w:rPr>
        <w:t>（十六）公开出让不成交的，应当按规定由大冶市公共资源交易中心重新组织出让。</w:t>
      </w:r>
    </w:p>
    <w:p>
      <w:pPr>
        <w:topLinePunct/>
        <w:snapToGrid w:val="0"/>
        <w:spacing w:line="440" w:lineRule="exact"/>
        <w:ind w:firstLine="640" w:firstLineChars="200"/>
        <w:textAlignment w:val="center"/>
        <w:rPr>
          <w:rFonts w:ascii="仿宋" w:hAnsi="仿宋" w:eastAsia="仿宋" w:cs="仿宋_GB2312"/>
          <w:color w:val="000000"/>
          <w:kern w:val="0"/>
          <w:sz w:val="32"/>
          <w:szCs w:val="32"/>
          <w:lang w:val="zh-CN"/>
        </w:rPr>
      </w:pPr>
      <w:r>
        <w:rPr>
          <w:rFonts w:hint="eastAsia" w:ascii="仿宋" w:hAnsi="仿宋" w:eastAsia="仿宋" w:cs="仿宋_GB2312"/>
          <w:color w:val="000000"/>
          <w:kern w:val="0"/>
          <w:sz w:val="32"/>
          <w:szCs w:val="32"/>
          <w:lang w:val="zh-CN"/>
        </w:rPr>
        <w:t>（十</w:t>
      </w:r>
      <w:r>
        <w:rPr>
          <w:rFonts w:hint="eastAsia" w:ascii="仿宋" w:hAnsi="仿宋" w:eastAsia="仿宋" w:cs="仿宋_GB2312"/>
          <w:sz w:val="32"/>
          <w:szCs w:val="32"/>
          <w:lang w:val="zh-CN"/>
        </w:rPr>
        <w:t>七</w:t>
      </w:r>
      <w:r>
        <w:rPr>
          <w:rFonts w:hint="eastAsia" w:ascii="仿宋" w:hAnsi="仿宋" w:eastAsia="仿宋" w:cs="仿宋_GB2312"/>
          <w:color w:val="000000"/>
          <w:kern w:val="0"/>
          <w:sz w:val="32"/>
          <w:szCs w:val="32"/>
          <w:lang w:val="zh-CN"/>
        </w:rPr>
        <w:t>）参加公开出让活动的人员，应遵守现场的纪律，服从管理人员的管理。</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w:t>
      </w:r>
      <w:r>
        <w:rPr>
          <w:rFonts w:hint="eastAsia" w:ascii="仿宋" w:hAnsi="仿宋" w:eastAsia="仿宋" w:cs="仿宋_GB2312"/>
          <w:sz w:val="32"/>
          <w:szCs w:val="32"/>
        </w:rPr>
        <w:t>八</w:t>
      </w:r>
      <w:r>
        <w:rPr>
          <w:rFonts w:hint="eastAsia" w:ascii="仿宋" w:hAnsi="仿宋" w:eastAsia="仿宋" w:cs="仿宋_GB2312"/>
          <w:sz w:val="32"/>
          <w:szCs w:val="32"/>
          <w:lang w:val="zh-CN"/>
        </w:rPr>
        <w:t>)大冶市自然资源和规划局和大冶市公共资源交易中心对本《出让须知》有解释权。未尽事宜依照</w:t>
      </w:r>
      <w:r>
        <w:rPr>
          <w:rFonts w:hint="eastAsia" w:ascii="仿宋" w:hAnsi="仿宋" w:eastAsia="仿宋" w:cs="Times New Roman"/>
          <w:sz w:val="32"/>
          <w:szCs w:val="32"/>
        </w:rPr>
        <w:t>《招标拍卖挂牌出让国有土地使用权规范》办理。</w:t>
      </w:r>
    </w:p>
    <w:p>
      <w:pPr>
        <w:spacing w:line="440" w:lineRule="exact"/>
        <w:ind w:firstLine="4480" w:firstLineChars="1400"/>
        <w:rPr>
          <w:rFonts w:ascii="仿宋" w:hAnsi="仿宋" w:eastAsia="仿宋" w:cs="Times New Roman"/>
          <w:sz w:val="32"/>
          <w:szCs w:val="32"/>
        </w:rPr>
      </w:pPr>
    </w:p>
    <w:p>
      <w:pPr>
        <w:spacing w:line="440" w:lineRule="exact"/>
        <w:ind w:firstLine="3360" w:firstLineChars="1050"/>
        <w:rPr>
          <w:rFonts w:ascii="仿宋" w:hAnsi="仿宋" w:eastAsia="仿宋" w:cs="Times New Roman"/>
          <w:sz w:val="32"/>
          <w:szCs w:val="32"/>
        </w:rPr>
      </w:pPr>
      <w:r>
        <w:rPr>
          <w:rFonts w:hint="eastAsia" w:ascii="仿宋" w:hAnsi="仿宋" w:eastAsia="仿宋" w:cs="Times New Roman"/>
          <w:sz w:val="32"/>
          <w:szCs w:val="32"/>
        </w:rPr>
        <w:t>出让人: 大冶市自然资源和规划局</w:t>
      </w:r>
    </w:p>
    <w:p>
      <w:pPr>
        <w:spacing w:line="440" w:lineRule="exact"/>
        <w:ind w:firstLine="3360" w:firstLineChars="1050"/>
        <w:rPr>
          <w:rFonts w:ascii="仿宋" w:hAnsi="仿宋" w:eastAsia="仿宋" w:cs="Times New Roman"/>
          <w:sz w:val="32"/>
          <w:szCs w:val="32"/>
        </w:rPr>
      </w:pPr>
      <w:r>
        <w:rPr>
          <w:rFonts w:hint="eastAsia" w:ascii="仿宋" w:hAnsi="仿宋" w:eastAsia="仿宋" w:cs="Times New Roman"/>
          <w:sz w:val="32"/>
          <w:szCs w:val="32"/>
        </w:rPr>
        <w:t>挂牌人：大冶市公共资源交易中心</w:t>
      </w:r>
    </w:p>
    <w:p>
      <w:pPr>
        <w:spacing w:line="440" w:lineRule="exact"/>
        <w:ind w:firstLine="4960" w:firstLineChars="1550"/>
        <w:rPr>
          <w:rFonts w:ascii="仿宋" w:hAnsi="仿宋" w:eastAsia="仿宋"/>
        </w:rPr>
      </w:pPr>
      <w:r>
        <w:rPr>
          <w:rFonts w:hint="eastAsia" w:ascii="仿宋" w:hAnsi="仿宋" w:eastAsia="仿宋" w:cs="Times New Roman"/>
          <w:sz w:val="32"/>
          <w:szCs w:val="32"/>
        </w:rPr>
        <w:t>2019年</w:t>
      </w:r>
      <w:r>
        <w:rPr>
          <w:rFonts w:hint="eastAsia" w:ascii="仿宋" w:hAnsi="仿宋" w:eastAsia="仿宋" w:cs="Times New Roman"/>
          <w:sz w:val="32"/>
          <w:szCs w:val="32"/>
          <w:lang w:val="en-US" w:eastAsia="zh-CN"/>
        </w:rPr>
        <w:t>1</w:t>
      </w:r>
      <w:bookmarkStart w:id="1" w:name="_GoBack"/>
      <w:bookmarkEnd w:id="1"/>
      <w:r>
        <w:rPr>
          <w:rFonts w:hint="eastAsia" w:ascii="仿宋" w:hAnsi="仿宋" w:eastAsia="仿宋" w:cs="Times New Roman"/>
          <w:sz w:val="32"/>
          <w:szCs w:val="32"/>
          <w:lang w:val="en-US" w:eastAsia="zh-CN"/>
        </w:rPr>
        <w:t>1</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22</w:t>
      </w:r>
      <w:r>
        <w:rPr>
          <w:rFonts w:hint="eastAsia" w:ascii="仿宋" w:hAnsi="仿宋" w:eastAsia="仿宋" w:cs="Times New Roman"/>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77F82"/>
    <w:rsid w:val="00037B9C"/>
    <w:rsid w:val="00072E8F"/>
    <w:rsid w:val="000741BF"/>
    <w:rsid w:val="001028A3"/>
    <w:rsid w:val="00147C53"/>
    <w:rsid w:val="001553FC"/>
    <w:rsid w:val="00160BDA"/>
    <w:rsid w:val="001D04CF"/>
    <w:rsid w:val="002359ED"/>
    <w:rsid w:val="00253FE8"/>
    <w:rsid w:val="00256C3C"/>
    <w:rsid w:val="00264DC4"/>
    <w:rsid w:val="002A14AE"/>
    <w:rsid w:val="002D4D04"/>
    <w:rsid w:val="002E5998"/>
    <w:rsid w:val="0039718E"/>
    <w:rsid w:val="004F6EB2"/>
    <w:rsid w:val="00514CE8"/>
    <w:rsid w:val="00575E65"/>
    <w:rsid w:val="005924AD"/>
    <w:rsid w:val="005A543E"/>
    <w:rsid w:val="00677F82"/>
    <w:rsid w:val="007C326D"/>
    <w:rsid w:val="00834467"/>
    <w:rsid w:val="0087648B"/>
    <w:rsid w:val="008A5BA8"/>
    <w:rsid w:val="00900E2C"/>
    <w:rsid w:val="00961F44"/>
    <w:rsid w:val="00984310"/>
    <w:rsid w:val="009A6519"/>
    <w:rsid w:val="009F53C9"/>
    <w:rsid w:val="00A404EF"/>
    <w:rsid w:val="00AA3F4D"/>
    <w:rsid w:val="00B04653"/>
    <w:rsid w:val="00B16E90"/>
    <w:rsid w:val="00B44B31"/>
    <w:rsid w:val="00CB2616"/>
    <w:rsid w:val="00D46C5E"/>
    <w:rsid w:val="00D544EC"/>
    <w:rsid w:val="00E06344"/>
    <w:rsid w:val="00E578B9"/>
    <w:rsid w:val="00E61AC9"/>
    <w:rsid w:val="00E67067"/>
    <w:rsid w:val="00E87DD3"/>
    <w:rsid w:val="00F4113A"/>
    <w:rsid w:val="00F64234"/>
    <w:rsid w:val="00FC6371"/>
    <w:rsid w:val="00FE6D05"/>
    <w:rsid w:val="00FF56DF"/>
    <w:rsid w:val="00FF5EE4"/>
    <w:rsid w:val="232C14FE"/>
    <w:rsid w:val="2A066086"/>
    <w:rsid w:val="2E36513F"/>
    <w:rsid w:val="387729C3"/>
    <w:rsid w:val="47BF7C13"/>
    <w:rsid w:val="54095EFB"/>
    <w:rsid w:val="549D1CD4"/>
    <w:rsid w:val="60E452EA"/>
    <w:rsid w:val="615D6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int="default" w:ascii="宋体" w:hAnsi="Courier New" w:cs="宋体"/>
      <w:sz w:val="32"/>
      <w:szCs w:val="32"/>
    </w:rPr>
  </w:style>
  <w:style w:type="paragraph" w:styleId="3">
    <w:name w:val="Body Text Indent 2"/>
    <w:basedOn w:val="1"/>
    <w:semiHidden/>
    <w:unhideWhenUsed/>
    <w:qFormat/>
    <w:uiPriority w:val="99"/>
    <w:pPr>
      <w:spacing w:line="580" w:lineRule="exact"/>
      <w:ind w:firstLine="640" w:firstLineChars="200"/>
    </w:pPr>
    <w:rPr>
      <w:rFonts w:ascii="仿宋_GB2312" w:eastAsia="仿宋_GB2312"/>
      <w:sz w:val="32"/>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jc w:val="left"/>
    </w:pPr>
    <w:rPr>
      <w:rFonts w:cs="Times New Roman"/>
      <w:kern w:val="0"/>
      <w:sz w:val="24"/>
    </w:rPr>
  </w:style>
  <w:style w:type="paragraph" w:customStyle="1" w:styleId="9">
    <w:name w:val="样式1"/>
    <w:basedOn w:val="1"/>
    <w:qFormat/>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740</Words>
  <Characters>4221</Characters>
  <Lines>35</Lines>
  <Paragraphs>9</Paragraphs>
  <TotalTime>1</TotalTime>
  <ScaleCrop>false</ScaleCrop>
  <LinksUpToDate>false</LinksUpToDate>
  <CharactersWithSpaces>4952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2017-10-27T07:23:00Z</dcterms:created>
  <dc:creator>Sky123.Org</dc:creator>
  <cp:lastModifiedBy>lenovo</cp:lastModifiedBy>
  <cp:lastPrinted>2019-10-29T07:21:00Z</cp:lastPrinted>
  <dcterms:modified xsi:type="dcterms:W3CDTF">2019-11-20T08:09:29Z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